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công bố hợp quy đối với sản phẩm chuyên ngành công nghệ thông tin và truyền thông sản xuất trong nước bắt buộc phải chứng nhận và công bố hợp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thực hiện theo trình tự sau:</w:t>
      </w:r>
    </w:p>
    <w:p>
      <w:pPr>
        <w:spacing w:after="0" w:before="0" w:lineRule="auto" w:line="276"/>
        <w:jc w:val="both"/>
      </w:pPr>
      <w:r>
        <w:rPr>
          <w:rFonts w:ascii="Times New Roman" w:hAnsi="Times New Roman" w:cs="Times New Roman" w:eastAsia="Times New Roman"/>
          <w:b w:val="false"/>
          <w:sz w:val="26"/>
        </w:rPr>
        <w:t>Bước 1: Gửi văn bản đến đề nghị cấp mã quản lý cho sản phẩm đã được chứng nhận đến tổ chức chứng nhận hợp quy.</w:t>
      </w:r>
    </w:p>
    <w:p>
      <w:pPr>
        <w:spacing w:after="0" w:before="0" w:lineRule="auto" w:line="276"/>
        <w:jc w:val="both"/>
      </w:pPr>
      <w:r>
        <w:rPr>
          <w:rFonts w:ascii="Times New Roman" w:hAnsi="Times New Roman" w:cs="Times New Roman" w:eastAsia="Times New Roman"/>
          <w:b w:val="false"/>
          <w:sz w:val="26"/>
        </w:rPr>
        <w:t>Bước 2: Đăng ký mẫu dấu hợp quy (Phụ lục V Thông tư số 30/2011/TT-BTTTT).</w:t>
      </w:r>
    </w:p>
    <w:p>
      <w:pPr>
        <w:spacing w:after="0" w:before="0" w:lineRule="auto" w:line="276"/>
        <w:jc w:val="both"/>
      </w:pPr>
      <w:r>
        <w:rPr>
          <w:rFonts w:ascii="Times New Roman" w:hAnsi="Times New Roman" w:cs="Times New Roman" w:eastAsia="Times New Roman"/>
          <w:b w:val="false"/>
          <w:sz w:val="26"/>
        </w:rPr>
        <w:t>Bước 3:  Lập hồ sơ đăng ký công bố hợp quy theo quy định tại khoản 1 Điều 17 của Thông tư 30/2011/TT-BTTTT được sửa đổi tại khoản 4 Điều 1 Thông tư số 10/2020/TT-BTTTT và gửi hồ sơ đến cơ quan tiếp nhận công bố hợp quy.</w:t>
      </w:r>
    </w:p>
    <w:p>
      <w:pPr>
        <w:spacing w:after="0" w:before="0" w:lineRule="auto" w:line="276"/>
        <w:jc w:val="both"/>
      </w:pPr>
      <w:r>
        <w:rPr>
          <w:rFonts w:ascii="Times New Roman" w:hAnsi="Times New Roman" w:cs="Times New Roman" w:eastAsia="Times New Roman"/>
          <w:b w:val="false"/>
          <w:sz w:val="26"/>
        </w:rPr>
        <w:t>Bước 4: Tổ chức, cá nhân được Thông báo tiếp nhận Bản công bố hợp quy trong thời gian năm (05) ngày làm việc kể từ ngày nhận đủ hồ sơ theo quy định. Trường hợp không tiếp nhận Bản công bố hợp quy cơ quan tiếp nhận hồ sơ có trách nhiệm thông báo bằng văn bản cho tổ chức, cá nhân đăng ký công bố hợp quy về những nội dung chưa phù hợp để hoàn thiện và thực hiện lại việc đăng ký công bố hợp quy.</w:t>
      </w:r>
    </w:p>
    <w:p>
      <w:pPr>
        <w:spacing w:after="0" w:before="0" w:lineRule="auto" w:line="276"/>
        <w:jc w:val="both"/>
      </w:pPr>
      <w:r>
        <w:rPr>
          <w:rFonts w:ascii="Times New Roman" w:hAnsi="Times New Roman" w:cs="Times New Roman" w:eastAsia="Times New Roman"/>
          <w:b w:val="false"/>
          <w:sz w:val="26"/>
        </w:rPr>
        <w:t>- Tổ chức, cá nhân phải thực hiện lại việc công bố hợp quy trong các trường hợp sau:
+ Thiết kế kỹ thuật của sản phẩm, hàng hóa đã công bố hợp quy thay đổi làm thay đổi chỉ tiêu kỹ thuật của sản phẩm.
+ Nội dung của hồ sơ công bố hợp quy đã đăng ký có sự thay đổi.
Trình tự thực hiện công bố hợp quy lại giống như đăng ký công bố hợp quy lần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(Thông tư số 183/2016/TT-BTC ngày 08/11/2016 của Bộ Tài chính 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w:t>
            </w:r>
          </w:p>
        </w:tc>
        <w:tc>
          <w:p/>
          <w:p>
            <w:pPr>
              <w:spacing w:after="0" w:before="0" w:lineRule="auto" w:line="276"/>
              <w:jc w:val="left"/>
            </w:pPr>
            <w:r>
              <w:rPr>
                <w:rFonts w:ascii="Times New Roman" w:hAnsi="Times New Roman" w:cs="Times New Roman" w:eastAsia="Times New Roman"/>
                <w:b w:val="false"/>
                <w:sz w:val="26"/>
              </w:rPr>
              <w:t>Mẫu Bản công bố hợp quy.doc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tổ chức chưa có mã số doanh nghiệp hoặc cá nhân chưa có số định danh cá nhân thì tổ chức, cá nhân nộp kèm theo hồ sơ công bố hợp quy bản sao một trong các loại giấy tờ sau: + Giấy chứng nhận đăng ký kinh doanh; Quyết định/Giấy phép thành lập, Giấy chứng nhận đầu tư/Giấy phép đầu tư (đối với tổ chức chưa có mã số doanh nghiệp); + Chứng minh nhân dân/hộ chiếu (đối với cá nhân chưa có số định danh cá nhân). Tổ chức, cá nhân chỉ nộp thành phần hồ sơ này khi thực hiện công bố hợp quy lần đầu hoặc các giấy tờ nêu trên có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Mẫu dấu hợp quy khi thực hiện công bố hợp quy lần đầu hoặc khi mẫu dấu hợp quy có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hợp quy do Tổ chức chứng nhận hợp quy hoặc tổ chức chứng nhận được thừa nhận cấp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68 đường Dương Đình Nghệ, phường Yên Hòa, quận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bản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05/2007/QH12</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25/2011/NĐ-CP</w:t>
            </w:r>
          </w:p>
        </w:tc>
        <w:tc>
          <w:p/>
          <w:p>
            <w:pPr>
              <w:spacing w:after="0" w:before="0" w:lineRule="auto" w:line="276"/>
              <w:jc w:val="left"/>
            </w:pPr>
            <w:r>
              <w:rPr>
                <w:rFonts w:ascii="Times New Roman" w:hAnsi="Times New Roman" w:cs="Times New Roman" w:eastAsia="Times New Roman"/>
                <w:b w:val="false"/>
                <w:sz w:val="26"/>
              </w:rPr>
              <w:t>Nghị định 25/2011/NĐ-CP</w:t>
            </w:r>
          </w:p>
        </w:tc>
        <w:tc>
          <w:p/>
          <w:p>
            <w:pPr>
              <w:spacing w:after="0" w:before="0" w:lineRule="auto" w:line="276"/>
              <w:jc w:val="left"/>
            </w:pPr>
            <w:r>
              <w:rPr>
                <w:rFonts w:ascii="Times New Roman" w:hAnsi="Times New Roman" w:cs="Times New Roman" w:eastAsia="Times New Roman"/>
                <w:b w:val="false"/>
                <w:sz w:val="26"/>
              </w:rPr>
              <w:t>06-04-2011</w:t>
            </w:r>
          </w:p>
        </w:tc>
        <w:tc>
          <w:p/>
        </w:tc>
      </w:tr>
      <w:tr>
        <w:tc>
          <w:p/>
          <w:p>
            <w:pPr>
              <w:spacing w:after="0" w:before="0" w:lineRule="auto" w:line="276"/>
              <w:jc w:val="left"/>
            </w:pPr>
            <w:r>
              <w:rPr>
                <w:rFonts w:ascii="Times New Roman" w:hAnsi="Times New Roman" w:cs="Times New Roman" w:eastAsia="Times New Roman"/>
                <w:b w:val="false"/>
                <w:sz w:val="26"/>
              </w:rPr>
              <w:t>30/2011/TT-BTTTT</w:t>
            </w:r>
          </w:p>
        </w:tc>
        <w:tc>
          <w:p/>
          <w:p>
            <w:pPr>
              <w:spacing w:after="0" w:before="0" w:lineRule="auto" w:line="276"/>
              <w:jc w:val="left"/>
            </w:pPr>
            <w:r>
              <w:rPr>
                <w:rFonts w:ascii="Times New Roman" w:hAnsi="Times New Roman" w:cs="Times New Roman" w:eastAsia="Times New Roman"/>
                <w:b w:val="false"/>
                <w:sz w:val="26"/>
              </w:rPr>
              <w:t>Thông tư 30/2011/TT-BTTTT</w:t>
            </w:r>
          </w:p>
        </w:tc>
        <w:tc>
          <w:p/>
          <w:p>
            <w:pPr>
              <w:spacing w:after="0" w:before="0" w:lineRule="auto" w:line="276"/>
              <w:jc w:val="left"/>
            </w:pPr>
            <w:r>
              <w:rPr>
                <w:rFonts w:ascii="Times New Roman" w:hAnsi="Times New Roman" w:cs="Times New Roman" w:eastAsia="Times New Roman"/>
                <w:b w:val="false"/>
                <w:sz w:val="26"/>
              </w:rPr>
              <w:t>31-10-2011</w:t>
            </w:r>
          </w:p>
        </w:tc>
        <w:tc>
          <w:p/>
        </w:tc>
      </w:tr>
      <w:tr>
        <w:tc>
          <w:p/>
          <w:p>
            <w:pPr>
              <w:spacing w:after="0" w:before="0" w:lineRule="auto" w:line="276"/>
              <w:jc w:val="left"/>
            </w:pPr>
            <w:r>
              <w:rPr>
                <w:rFonts w:ascii="Times New Roman" w:hAnsi="Times New Roman" w:cs="Times New Roman" w:eastAsia="Times New Roman"/>
                <w:b w:val="false"/>
                <w:sz w:val="26"/>
              </w:rPr>
              <w:t>15/2018/TT-BTTTT</w:t>
            </w:r>
          </w:p>
        </w:tc>
        <w:tc>
          <w:p/>
          <w:p>
            <w:pPr>
              <w:spacing w:after="0" w:before="0" w:lineRule="auto" w:line="276"/>
              <w:jc w:val="left"/>
            </w:pPr>
            <w:r>
              <w:rPr>
                <w:rFonts w:ascii="Times New Roman" w:hAnsi="Times New Roman" w:cs="Times New Roman" w:eastAsia="Times New Roman"/>
                <w:b w:val="false"/>
                <w:sz w:val="26"/>
              </w:rPr>
              <w:t>Thông tư 15/2018/TT-BTTTT</w:t>
            </w:r>
          </w:p>
        </w:tc>
        <w:tc>
          <w:p/>
          <w:p>
            <w:pPr>
              <w:spacing w:after="0" w:before="0" w:lineRule="auto" w:line="276"/>
              <w:jc w:val="left"/>
            </w:pPr>
            <w:r>
              <w:rPr>
                <w:rFonts w:ascii="Times New Roman" w:hAnsi="Times New Roman" w:cs="Times New Roman" w:eastAsia="Times New Roman"/>
                <w:b w:val="false"/>
                <w:sz w:val="26"/>
              </w:rPr>
              <w:t>15-11-2018</w:t>
            </w:r>
          </w:p>
        </w:tc>
        <w:tc>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gửi văn bản đến Cục Viễn thông đăng ký mẫu dấu hợp quy kèm theo bản điện tử (file) mẫu dấu hợp quy. Dấu hợp quy phải được thiết kế theo quy định tại khoản 1, 2 Điều 19 và Phụ lục V Thông tư số 30/2011/TT-BTTTT.
- Cách thể hiện dấu hợp quy:
+ Dấu hợp quy có thể được phóng to hoặc thu nhỏ nhưng phải đảm bảo đúng tỷ lệ và nhận biết được bằng mắt thường.
+ Màu sắc của dấu hợp quy do tổ chức, cá nhân tự chọn, nhưng phải được thể hiện cùng một màu, bảo đảm rõ ràng, dễ thấy và bền vững. Không được in thêm bất kỳ ký tự, hình ảnh, hoa văn khác trong phạm vi dấu hợp quy. Trường hợp in dấu hợp quy lên các chất liệu khác để gắn hoặc dán thì phải lựa chọn chất liệu sao cho chỉ sử dụng được một lần, không thể bóc ra gắn lại.
+ Tổ chức, cá nhân sau khi công bố hợp quy tự thể hiện dấu hợp quy bằng cách in, gắn hoặc dán dấu hợp quy trực tiếp trên sản phẩm hoặc trên bao bì hoặc nhãn gắn trên sản phẩm ở vị trí dễ thấy, dễ đọc, đồng thời có thể được in trong tài liệu kỹ thuật kèm theo.
- Sử dụng dấu hợp quy: Tổ chức, cá nhân chỉ được phép sử dụng dấu hợp quy sau khi đã đăng ký mẫu dấu hợp quy tại cơ quan tiếp nhận công bố hợp quy.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2026-05-26T19:14:17Z</dcterms:created>
  <dc:creator>Apache POI</dc:creator>
</cp:coreProperties>
</file>