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1.004614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thẻ hướng dẫn viên du lịch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Du lịch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Hướng dẫn viên du lịch nộp hồ sơ đề nghị cấp lại thẻ hướng dẫn viên du lịch đến Sở Du lịch/Sở Văn hóa, Thể thao và Du lịch trong trường hợp thẻ bị mất, bị hư hỏng hoặc thay đổi thông tin trên thẻ;
- Trong thời hạn 10 ngày kể từ ngày nhận được hồ sơ hợp lệ, Sở Du lịch/Sở Văn hóa, Thể thao và Du lịch có trách nhiệm cấp lại thẻ hướng dẫn viên du lịch cho người đề nghị; trường hợp từ chối,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50.000 Đồng</w:t>
              <w:t xml:space="preserve"> (đối với thẻ hướng dẫn viên du lịch tại điểm)</w:t>
            </w:r>
          </w:p>
          <w:p>
            <w:pPr>
              <w:spacing w:after="0" w:before="0" w:lineRule="auto" w:line="276"/>
              <w:jc w:val="left"/>
            </w:pPr>
            <w:r>
              <w:rPr>
                <w:rFonts w:ascii="Times New Roman" w:hAnsi="Times New Roman" w:cs="Times New Roman" w:eastAsia="Times New Roman"/>
                <w:b w:val="false"/>
                <w:sz w:val="26"/>
              </w:rPr>
              <w:t>Phí : 162.500 Đồng</w:t>
              <w:t xml:space="preserve"> (đối với thẻ hướng dẫn viên du lịch quốc tế hoặc thẻ hướng dẫn viên du lịch nội địa)</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50.000 Đồng</w:t>
              <w:t xml:space="preserve"> (đối với thẻ hướng dẫn viên du lịch tại điểm)</w:t>
            </w:r>
          </w:p>
          <w:p>
            <w:pPr>
              <w:spacing w:after="0" w:before="0" w:lineRule="auto" w:line="276"/>
              <w:jc w:val="left"/>
            </w:pPr>
            <w:r>
              <w:rPr>
                <w:rFonts w:ascii="Times New Roman" w:hAnsi="Times New Roman" w:cs="Times New Roman" w:eastAsia="Times New Roman"/>
                <w:b w:val="false"/>
                <w:sz w:val="26"/>
              </w:rPr>
              <w:t>Phí : 162.500 Đồng</w:t>
              <w:t xml:space="preserve"> (đối với thẻ hướng dẫn viên du lịch quốc tế hoặc thẻ hướng dẫn viên du lịch nội địa)</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50.000 Đồng</w:t>
              <w:t xml:space="preserve"> (đối với thẻ hướng dẫn viên du lịch tại điểm)</w:t>
            </w:r>
          </w:p>
          <w:p>
            <w:pPr>
              <w:spacing w:after="0" w:before="0" w:lineRule="auto" w:line="276"/>
              <w:jc w:val="left"/>
            </w:pPr>
            <w:r>
              <w:rPr>
                <w:rFonts w:ascii="Times New Roman" w:hAnsi="Times New Roman" w:cs="Times New Roman" w:eastAsia="Times New Roman"/>
                <w:b w:val="false"/>
                <w:sz w:val="26"/>
              </w:rPr>
              <w:t>Phí : 162.500 Đồng</w:t>
              <w:t xml:space="preserve"> (đối với thẻ hướng dẫn viên du lịch quốc tế hoặc thẻ hướng dẫn viên du lịch nội địa)</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02 ảnh chân dung màu cỡ 3 cm x 4 cm*;</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giấy tờ liên quan đến nội dung thay đổi trong trường hợp cấp lại thẻ do thay đổi thông tin trên thẻ hướng dẫn viên du lịch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Đơn đề nghị cấp lại thẻ hướng dẫn viên du lịch (theo Mẫu số 05 tại Phụ lục II ban hành kèm theo Thông tư số 04/2024/TT-BVHTTDL ngày 26 tháng 6 năm 2024)</w:t>
            </w:r>
          </w:p>
        </w:tc>
        <w:tc>
          <w:p/>
          <w:p>
            <w:pPr>
              <w:spacing w:after="0" w:before="0" w:lineRule="auto" w:line="276"/>
              <w:jc w:val="left"/>
            </w:pPr>
            <w:r>
              <w:rPr>
                <w:rFonts w:ascii="Times New Roman" w:hAnsi="Times New Roman" w:cs="Times New Roman" w:eastAsia="Times New Roman"/>
                <w:b w:val="false"/>
                <w:sz w:val="26"/>
              </w:rPr>
              <w:t>Cac mau don.docx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Sở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Thẻ hướng dẫn viên du lịch tại điểm, Thẻ hướng dẫn viên du lịch quốc tế, Thẻ hướng dẫn viên du lịch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09/2017/QH14</w:t>
            </w:r>
          </w:p>
        </w:tc>
        <w:tc>
          <w:p/>
          <w:p>
            <w:pPr>
              <w:spacing w:after="0" w:before="0" w:lineRule="auto" w:line="276"/>
              <w:jc w:val="left"/>
            </w:pPr>
            <w:r>
              <w:rPr>
                <w:rFonts w:ascii="Times New Roman" w:hAnsi="Times New Roman" w:cs="Times New Roman" w:eastAsia="Times New Roman"/>
                <w:b w:val="false"/>
                <w:sz w:val="26"/>
              </w:rPr>
              <w:t>Luật 09/2017/QH14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06/2017/TT-BVHTTDL</w:t>
            </w:r>
          </w:p>
        </w:tc>
        <w:tc>
          <w:p/>
          <w:p>
            <w:pPr>
              <w:spacing w:after="0" w:before="0" w:lineRule="auto" w:line="276"/>
              <w:jc w:val="left"/>
            </w:pPr>
            <w:r>
              <w:rPr>
                <w:rFonts w:ascii="Times New Roman" w:hAnsi="Times New Roman" w:cs="Times New Roman" w:eastAsia="Times New Roman"/>
                <w:b w:val="false"/>
                <w:sz w:val="26"/>
              </w:rPr>
              <w:t>Thông tư 06/2017/TT-BVHTTDL</w:t>
            </w:r>
          </w:p>
        </w:tc>
        <w:tc>
          <w:p/>
          <w:p>
            <w:pPr>
              <w:spacing w:after="0" w:before="0" w:lineRule="auto" w:line="276"/>
              <w:jc w:val="left"/>
            </w:pPr>
            <w:r>
              <w:rPr>
                <w:rFonts w:ascii="Times New Roman" w:hAnsi="Times New Roman" w:cs="Times New Roman" w:eastAsia="Times New Roman"/>
                <w:b w:val="false"/>
                <w:sz w:val="26"/>
              </w:rPr>
              <w:t>15-12-2017</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13/2019/TT-BVHTTDL</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06/2017/TT-BVHTTDL NGÀY 15 THÁNG 12 NĂM 2017 CỦA BỘ TRƯỞNG BỘ VĂN HÓA, THỂ THAO VÀ DU LỊCH QUY ĐỊNH CHI TIẾT MỘT SỐ ĐIỀU CỦA LUẬT DU LỊCH</w:t>
            </w:r>
          </w:p>
        </w:tc>
        <w:tc>
          <w:p/>
          <w:p>
            <w:pPr>
              <w:spacing w:after="0" w:before="0" w:lineRule="auto" w:line="276"/>
              <w:jc w:val="left"/>
            </w:pPr>
            <w:r>
              <w:rPr>
                <w:rFonts w:ascii="Times New Roman" w:hAnsi="Times New Roman" w:cs="Times New Roman" w:eastAsia="Times New Roman"/>
                <w:b w:val="false"/>
                <w:sz w:val="26"/>
              </w:rPr>
              <w:t>25-11-2019</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04/2024/TT-BVHTTDL</w:t>
            </w:r>
          </w:p>
        </w:tc>
        <w:tc>
          <w:p/>
          <w:p>
            <w:pPr>
              <w:spacing w:after="0" w:before="0" w:lineRule="auto" w:line="276"/>
              <w:jc w:val="left"/>
            </w:pPr>
            <w:r>
              <w:rPr>
                <w:rFonts w:ascii="Times New Roman" w:hAnsi="Times New Roman" w:cs="Times New Roman" w:eastAsia="Times New Roman"/>
                <w:b w:val="false"/>
                <w:sz w:val="26"/>
              </w:rPr>
              <w:t>Thông tư của Bộ trưởng Bộ VHTTDL</w:t>
            </w:r>
          </w:p>
        </w:tc>
        <w:tc>
          <w:p/>
          <w:p>
            <w:pPr>
              <w:spacing w:after="0" w:before="0" w:lineRule="auto" w:line="276"/>
              <w:jc w:val="left"/>
            </w:pPr>
            <w:r>
              <w:rPr>
                <w:rFonts w:ascii="Times New Roman" w:hAnsi="Times New Roman" w:cs="Times New Roman" w:eastAsia="Times New Roman"/>
                <w:b w:val="false"/>
                <w:sz w:val="26"/>
              </w:rPr>
              <w:t>26-06-2024</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Bảo đảm duy trì các điều kiện cấp thẻ:
(1) Có quốc tịch Việt Nam, thường trú tại Việt Nam;
(2) Có năng lực hành vi dân sự đầy đủ;
(3) Không mắc bệnh truyền nhiễm, không sử dụng chất ma túy; 
(4) Hướng dẫn viên du lịch nội địa tốt nghiệp trung cấp trở lên chuyên ngành hướng dẫn du lịch; trường hợp tốt nghiệp trung cấp trở lên chuyên ngành khác phải có chứng chỉ nghiệp vụ hướng dẫn du lịch nội địa. Hướng dẫn viên du lịch quốc tế tốt nghiệp cao đẳng trở lên chuyên ngành hướng dẫn du lịch; trường hợp tốt nghiệp cao đẳng trở lên chuyên ngành khác phải có chứng chỉ nghiệp vụ hướng dẫn du lịch quốc tế. Hướng dẫn viên du lịch tại điểm đạt yêu cầu kiểm tra nghiệp vụ hướng dẫn du lịch tại điểm do Sở Du lịch/Sở Văn hóa, Thể thao và Du lịch tổ chức.
(5) Sử dụng thành thạo ngoại ngữ đăng ký hành nghề (đối với hướng dẫn viên du lịch quốc tế): đáp ứng một trong các tiêu chuẩn sau:
- Có bằng tốt nghiệp từ cao đẳng trở lên ngành ngôn ngữ hoặc tiếng nước ngoài, ngành phiên dịch tiếng nước ngoài, ngành sư phạm tiếng nước ngoài; 
- Có bằng tốt nghiệp từ cao đẳng trở lên theo chương trình đào tạo bằng ngôn ngữ hoặc tiếng nước ngoài. Trường hợp văn bằng hoặc phụ lục văn bằng không thể hiện ngôn ngữ đào tạo, cần bổ sung giấy tờ chứng minh ngôn ngữ được sử dụng để đào tạo;
- Có bằng tốt nghiệp từ cao đẳng trở lên ở nước ngoài theo chương trình đào tạo bằng ngôn ngữ chính thức của nước sở tại. Trường hợp được đào tạo bằng ngôn ngữ khác với ngôn ngữ chính thức của nước sở tại, văn bằng hoặc phụ lục văn bằng không thể hiện ngôn ngữ đào tạo, cần bổ sung giấy tờ chứng minh ngôn ngữ được sử dụng để đào tạo;
- Có một trong các chứng chỉ ngoại ngữ còn thời hạn do tổ chức, cơ quan có thẩm quyền cấp gồm: Chứng chỉ ngoại ngữ từ bậc 4 trở lên theo Khung năng lực ngoại ngữ 6 bậc dùng cho Việt Nam; chứng chỉ năng lực ngoại ngữ của nước ngoài tương đương từ bậc 4 trở lên theo Khu năng lực ngoại ngữ 6 bậc dung cho Việt Nam hoặc tương đương từ bậc B2 trở lên theo Khung tham chiếu chung châu Âu hoặc đạt mức yêu cầu theo quy định tại Phụ lục I Thông tư số 04/2024/TT-BVHTTDL ngày 26 tháng 6 năm 2024 của Bộ trưởng Bộ Văn hóa, Thể thao và Du lịch.
Văn bằng do cơ sở đào tạo nước ngoài cấp phải được công nhận theo quy định của pháp luật về giáo dục, giáo dục đại học và giáo dục nghề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2026-05-22T09:59:31Z</dcterms:created>
  <dc:creator>Apache POI</dc:creator>
</cp:coreProperties>
</file>