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đủ điều kiện nhập khẩu máy trò chơi điện tử có cài đặt chương trình trả thưởng dành cho người nước ngoài và thiết bị chuyên dùng cho trò chơi ở sòng bạc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mua bán quốc tế chuyên ngành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đề nghị xác nhận đủ điều kiện nhập khẩu hàng hóa và danh mục hàng hóa nhập khẩu gửi 01 bộ hồ sơ trực tiếp hoặc qua đường bưu điện đến Vụ Kế hoạch, Tài chính - Bộ Văn hóa, Thể thao và Du lịch.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nếu hồ sơ chưa đầy đủ, hợp lệ, cơ quan có thẩm quyền có văn bản thông báo cho doanh nghiệp đề nghị bổ sung đầy đủ hồ sơ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đủ hồ sơ hợp lệ, căn cứ các điều kiện quy định tại Điều 10 Thông tư số 28/2014/TT-BVHTTDL ngày 31 tháng 12 năm 2014 của Bộ trưởng Bộ Văn hóa, Thể thao và Du lịch, Bộ Văn hóa, Thể thao và Du lịch có văn bản xác nhận đủ điều kiện nhập khẩu và danh mục hàng hóa nhập khẩu của Thương nhân. Trường hợp Thương nhân không thuộc đối tượng được phép nhập khẩu hoặc chưa đủ điều kiện nhập khẩu, Bộ Văn hóa, Thể thao và Du lịch có văn bản trả lời và nêu rõ lý do.</w:t>
      </w:r>
    </w:p>
    <w:p>
      <w:pPr>
        <w:spacing w:after="0" w:before="0" w:lineRule="auto" w:line="276"/>
        <w:jc w:val="both"/>
      </w:pPr>
      <w:r>
        <w:rPr>
          <w:rFonts w:ascii="Times New Roman" w:hAnsi="Times New Roman" w:cs="Times New Roman" w:eastAsia="Times New Roman"/>
          <w:b w:val="false"/>
          <w:sz w:val="26"/>
        </w:rPr>
        <w:t>Văn bản của Bộ Văn hóa, Thể thao và Du lịch chấp thuận cho Thương nhân đủ điều kiện nhập khẩu hàng hóa và danh mục hàng hóa được nhập khẩu là căn cứ để cơ quan hải quan cho phép thương nhân được đưa hàng về địa điểm kiểm tra chuyên ngành hoặc kho của doanh nghiệp bảo quản để chờ kết quả kiểm tra chuyên ngành của cơ quan văn hóa. Cơ quan hải quan làm thủ tục xác nhận thông quan cho số hàng hóa mang về bảo quản này sau khi có văn bản thẩm định, phê duyệt nội dung của cơ quan chuyên ngành văn hóa theo quy định tại khoản 2 Điều 11 Thông tư số 28/2014/TT-BVHTTDL ngày 31 tháng 12 năm 2014 của Bộ trưởng Bộ Văn hóa, Thể thao và Du lịch.</w:t>
      </w:r>
    </w:p>
    <w:p>
      <w:pPr>
        <w:spacing w:after="0" w:before="0" w:lineRule="auto" w:line="276"/>
        <w:jc w:val="both"/>
      </w:pPr>
      <w:r>
        <w:rPr>
          <w:rFonts w:ascii="Times New Roman" w:hAnsi="Times New Roman" w:cs="Times New Roman" w:eastAsia="Times New Roman"/>
          <w:b w:val="false"/>
          <w:sz w:val="26"/>
        </w:rPr>
        <w:t>Doanh nghiệp tự chịu trách nhiệm trước pháp luật trong việc vận chuyển, bảo quản đối với hàng hóa nhập khẩu được phép mang về bảo quản cho đến khi hàng hóa được thông quan.</w:t>
      </w:r>
    </w:p>
    <w:p>
      <w:pPr>
        <w:spacing w:after="0" w:before="0" w:lineRule="auto" w:line="276"/>
        <w:jc w:val="both"/>
      </w:pPr>
      <w:r>
        <w:rPr>
          <w:rFonts w:ascii="Times New Roman" w:hAnsi="Times New Roman" w:cs="Times New Roman" w:eastAsia="Times New Roman"/>
          <w:b w:val="false"/>
          <w:sz w:val="26"/>
        </w:rPr>
        <w:t>Danh mục thủ tục sản phẩm máy trò chơi điện tử có cài đặt chương trình trả thưởng dành cho người nước ngoài và thiết bị chuyên dùng cho trò chơi ở sòng bạc chỉ được phép thông quan và đưa vào kinh doanh, sử dụng, phân phối sau khi đã được Sở Văn hoá, Thể thao và Du lịch các tỉnh, thành phố trực thuộc Trung ương kiểm tra hoặc thẩm định, phê duyệt nội dung và dán tem, nhãn kiểm soát, lưu hành đối với hàng hóa đủ điều kiện phổ biến, lưu hành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500.000 Đồng</w:t>
              <w:t xml:space="preserve"> (Đối với thiết bị chuyên dùng cho trò chơi ở sòng bạc: 500.000 đồng/sản phẩm/lần thẩm định. )</w:t>
            </w:r>
          </w:p>
          <w:p>
            <w:pPr>
              <w:spacing w:after="0" w:before="0" w:lineRule="auto" w:line="276"/>
              <w:jc w:val="left"/>
            </w:pPr>
            <w:r>
              <w:rPr>
                <w:rFonts w:ascii="Times New Roman" w:hAnsi="Times New Roman" w:cs="Times New Roman" w:eastAsia="Times New Roman"/>
                <w:b w:val="false"/>
                <w:sz w:val="26"/>
              </w:rPr>
              <w:t>Lệ phí : 300.000 Đồng</w:t>
              <w:t xml:space="preserve"> (Đối với máy trò chơi điện tử có cài đặt chương trình trả thưởng: + Đối với 1 máy/lần thẩm định: 300.000 đồng/lần thẩm định. + Đối với từ 2 máy trở lên/lần thẩm định: 500.000 đồng/lần thẩm định.)</w:t>
            </w:r>
          </w:p>
        </w:tc>
        <w:tc>
          <w:p/>
          <w:p>
            <w:pPr>
              <w:spacing w:after="0" w:before="0" w:lineRule="auto" w:line="276"/>
              <w:jc w:val="left"/>
            </w:pPr>
            <w:r>
              <w:rPr>
                <w:rFonts w:ascii="Times New Roman" w:hAnsi="Times New Roman" w:cs="Times New Roman" w:eastAsia="Times New Roman"/>
                <w:b w:val="false"/>
                <w:sz w:val="26"/>
              </w:rPr>
              <w:t xml:space="preserve"> - Trong thời hạn 07 ngày làm việc, kể từ ngày nhận được hồ sơ, nếu hồ sơ chưa đầy đủ, hợp lệ, cơ quan có thẩm quyền có văn bản thông báo cho doanh nghiệp đề nghị bổ sung đầy đủ hồ sơ hợp lệ.
- Trong thời hạn 10 ngày làm việc, kể từ ngày nhận được đủ hồ sơ hợp lệ, căn cứ các điều kiện quy định tại khoản 4 Điều 10 Thông tư số 28/2014/TT-BVHTTDL ngày 31 tháng 12 năm 2014 của Bộ trưởng Bộ Văn hóa, Thể thao và Du lịch, Bộ Văn hóa, Thể thao và Du lịch có văn bản xác nhận đủ điều kiện nhập khẩu và danh mục hàng hóa nhập khẩu của Thương nhân. Trường hợp Thương nhân không thuộc đối tượng được phép nhập khẩu hoặc chưa đủ điều kiện nhập khẩu, Bộ Văn hóa, Thể thao và Du lịch có văn bản trả lời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300.000 Đồng</w:t>
              <w:t xml:space="preserve"> (Đối với máy trò chơi điện tử có cài đặt chương trình trả thưởng: + Đối với 1 máy/lần thẩm định: 300.000 đồng/lần thẩm định. + Đối với từ 2 máy trở lên/lần thẩm định: 500.000 đồng/lần thẩm định.)</w:t>
            </w:r>
          </w:p>
          <w:p>
            <w:pPr>
              <w:spacing w:after="0" w:before="0" w:lineRule="auto" w:line="276"/>
              <w:jc w:val="left"/>
            </w:pPr>
            <w:r>
              <w:rPr>
                <w:rFonts w:ascii="Times New Roman" w:hAnsi="Times New Roman" w:cs="Times New Roman" w:eastAsia="Times New Roman"/>
                <w:b w:val="false"/>
                <w:sz w:val="26"/>
              </w:rPr>
              <w:t>Lệ phí : 500.000 Đồng</w:t>
              <w:t xml:space="preserve"> (Đối với thiết bị chuyên dùng cho trò chơi ở sòng bạc: 500.000 đồng/sản phẩm/lần thẩm định. )</w:t>
            </w:r>
          </w:p>
        </w:tc>
        <w:tc>
          <w:p/>
          <w:p>
            <w:pPr>
              <w:spacing w:after="0" w:before="0" w:lineRule="auto" w:line="276"/>
              <w:jc w:val="left"/>
            </w:pPr>
            <w:r>
              <w:rPr>
                <w:rFonts w:ascii="Times New Roman" w:hAnsi="Times New Roman" w:cs="Times New Roman" w:eastAsia="Times New Roman"/>
                <w:b w:val="false"/>
                <w:sz w:val="26"/>
              </w:rPr>
              <w:t xml:space="preserve"> - Trong thời hạn 07 ngày làm việc, kể từ ngày nhận được hồ sơ, nếu hồ sơ chưa đầy đủ, hợp lệ, cơ quan có thẩm quyền có văn bản thông báo cho doanh nghiệp đề nghị bổ sung đầy đủ hồ sơ hợp lệ.
- Trong thời hạn 10 ngày làm việc, kể từ ngày nhận được đủ hồ sơ hợp lệ, căn cứ các điều kiện quy định tại khoản 4 Điều 10 Thông tư số 28/2014/TT-BVHTTDL ngày 31 tháng 12 năm 2014 của Bộ trưởng Bộ Văn hóa, Thể thao và Du lịch, Bộ Văn hóa, Thể thao và Du lịch có văn bản xác nhận đủ điều kiện nhập khẩu và danh mục hàng hóa nhập khẩu của Thương nhân. Trường hợp Thương nhân không thuộc đối tượng được phép nhập khẩu hoặc chưa đủ điều kiện nhập khẩu, Bộ Văn hóa, Thể thao và Du lịch có văn bản trả lời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xác nhận đủ điều kiện nhập khẩu hàng hóa và danh mục hàng hóa nhập khẩu của Thương nhân (Mẫu số 06 tại Phụ lục II ban hành kèm theo Thông tư số 28/2014/TT-BVHTTDL ngày 31 tháng 12 năm 2014 của Bộ trưởng Bộ Văn hóa, Thể thao và Du lịch quy định về quản lý hoạt động mua bán hàng hóa quốc tế thuộc diện quản lý chuyên ngành văn hóa của Bộ Văn hóa, Thể thao và Du lịch); Đối với những Thương nhân nhập khẩu bổ sung hoặc thay thế số máy, thiết bị đang kinh doanh, ngoài những nội dung hồ sơ kê khai tại khoản 5 Điều 10 Thông tư số 28/2014/TT-BVHTTDL ngày 31 tháng 12 năm 2014 của Bộ trưởng Bộ Văn hóa, Thể thao và Du lịch, đơn đề nghị xác nhận đủ điều kiện nhập khẩu hàng hóa và danh mục hàng hóa nhập khẩu của Thương nhân cần ghi rõ tổng số máy doanh nghiệp được phép kinh doanh theo quyết định của cơ quan có thẩm quyền; bản kê chi tiết số máy, thiết bị, chủng loại hiện có đang kinh doanh; số máy, thiết bị dự phòng hiện có, đã tiêu hủy, hoặc xin phép tiêu hủy; ngày nhập khẩu những máy, thiết bị đã nhập khẩu này và các thông tin khác có liên quan đến số lượng và chủng loại máy (nếu có).</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Hồ sơ (catalogue) ghi rõ các tính năng, kiểu dáng, nội dung, chương trình cài đặt, mô tả cách thức chơi, chủng loại, hãng, nhà sản xuất, cung cấp và các tài liệu chứng minh về hãng, nhà sản xuất, cung cấp và tổ chức kiểm định độc lập hoặc cung cấp dịch vụ kiểm định máy, thiết bị xin nhập khẩu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đầu tư, Giấy phép đầu tư hoặc các loại giấy tờ xác nhận tư cách pháp lý có giá trị tương đương khác và Giấy chứng nhận đủ điều kiện kinh doanh trò chơi điện tử có thưởng dành cho người nước ngoài, kinh doanh sòng bạc; Trường hợp doanh nghiệp sử dụng thông tin Giấy chứng nhận đăng ký doanh nghiệp thì được tra cứu, tích hợp thông tin từ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Kế hoạch, Tài chính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đủ điều kiện nhập khẩu máy trò chơi điện tử có cài đặt chương trình trả thưởng dành cho người nước ngoài và thiết bị chuyên dùng cho trò chơi ở sòng bạc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28/2014/TT-BVHTTDL</w:t>
            </w:r>
          </w:p>
        </w:tc>
        <w:tc>
          <w:p/>
          <w:p>
            <w:pPr>
              <w:spacing w:after="0" w:before="0" w:lineRule="auto" w:line="276"/>
              <w:jc w:val="left"/>
            </w:pPr>
            <w:r>
              <w:rPr>
                <w:rFonts w:ascii="Times New Roman" w:hAnsi="Times New Roman" w:cs="Times New Roman" w:eastAsia="Times New Roman"/>
                <w:b w:val="false"/>
                <w:sz w:val="26"/>
              </w:rPr>
              <w:t>Thông tư 28/2014/TT-BVHTTDL</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260/2016/TT-BTC</w:t>
            </w:r>
          </w:p>
        </w:tc>
        <w:tc>
          <w:p/>
          <w:p>
            <w:pPr>
              <w:spacing w:after="0" w:before="0" w:lineRule="auto" w:line="276"/>
              <w:jc w:val="left"/>
            </w:pPr>
            <w:r>
              <w:rPr>
                <w:rFonts w:ascii="Times New Roman" w:hAnsi="Times New Roman" w:cs="Times New Roman" w:eastAsia="Times New Roman"/>
                <w:b w:val="false"/>
                <w:sz w:val="26"/>
              </w:rPr>
              <w:t>Thông tư 260/2016/TT-BTC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26/2018/TT-BVHTTDL</w:t>
            </w:r>
          </w:p>
        </w:tc>
        <w:tc>
          <w:p/>
          <w:p>
            <w:pPr>
              <w:spacing w:after="0" w:before="0" w:lineRule="auto" w:line="276"/>
              <w:jc w:val="left"/>
            </w:pPr>
            <w:r>
              <w:rPr>
                <w:rFonts w:ascii="Times New Roman" w:hAnsi="Times New Roman" w:cs="Times New Roman" w:eastAsia="Times New Roman"/>
                <w:b w:val="false"/>
                <w:sz w:val="26"/>
              </w:rPr>
              <w:t>Thông tư 26/2018/TT-BVHTTDL sửa đổi, bổ sung một số điều của Thông tư số 28/2014/TT-BVHTTDL</w:t>
            </w:r>
          </w:p>
        </w:tc>
        <w:tc>
          <w:p/>
          <w:p>
            <w:pPr>
              <w:spacing w:after="0" w:before="0" w:lineRule="auto" w:line="276"/>
              <w:jc w:val="left"/>
            </w:pPr>
            <w:r>
              <w:rPr>
                <w:rFonts w:ascii="Times New Roman" w:hAnsi="Times New Roman" w:cs="Times New Roman" w:eastAsia="Times New Roman"/>
                <w:b w:val="false"/>
                <w:sz w:val="26"/>
              </w:rPr>
              <w:t>11-09-2018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Máy, thiết bị nhập khẩu mới 100%, có nội dung, hình ảnh, âm thanh, hình thức bảo đảm chất lượng, phù hợp với thẩm mỹ của người Việt Nam và không vi phạm các điều kiện quy định về nội dung cấm phổ biến, lưu hành tại Việt Nam; 
- Có địa điểm lắp đặt, kinh doanh máy, thiết bị nhập khẩu đúng với nội dung đăng ký kinh doanh đã được cơ quan có thẩm quyền cấp;
- Quyết định công nhận hạng cơ sở lưu trú du lịch còn hiệu lực theo quy định của pháp luật tại thời điểm nhập khẩu;
- Tuân thủ các điều kiện khác theo quy định tại Giấy chứng nhận đầu tư hoặc Giấy đăng ký kinh doanh và Giấy chứng nhận đủ điều kiện kinh doanh trò chơi điện tử có thưởng dành cho người nước ngoài, kinh doanh sòng bạc.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2026-05-22T16:18:06Z</dcterms:created>
  <dc:creator>Apache POI</dc:creator>
</cp:coreProperties>
</file>