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190/QĐ-BVHTTDL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thành lập Văn phòng đại diện của doanh nghiệp quảng cáo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Quảng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quảng cáo nước ngoài nộp trực tiếp hoặc qua đường bưu điện 01 bộ hồ sơ đề nghị cấp Giấy phép thành lập Văn phòng đại diện đến Ủy ban nhân dân cấp tỉnh nơi đặt Văn phòng đại diện.</w:t>
      </w:r>
    </w:p>
    <w:p>
      <w:pPr>
        <w:spacing w:after="0" w:before="0" w:lineRule="auto" w:line="276"/>
        <w:jc w:val="both"/>
      </w:pPr>
      <w:r>
        <w:rPr>
          <w:rFonts w:ascii="Times New Roman" w:hAnsi="Times New Roman" w:cs="Times New Roman" w:eastAsia="Times New Roman"/>
          <w:b w:val="false"/>
          <w:sz w:val="26"/>
        </w:rPr>
        <w:t>Trong thời hạn 10 ngày, kể từ ngày nhận đủ hồ sơ hợp lệ, Ủy ban nhân dân cấp tỉnh xem xét, cấp Giấy phép thành lập Văn phòng đại diện và gửi bản sao giấy phép đó đến Bộ Văn hóa, Thể thao và Du lịch. Trường hợp hồ sơ chưa hợp lệ, trong thời gian 03 ngày, kể từ ngày nhận hồ sơ, Ủy ban nhân dân cấp tỉnh gửi văn bản yêu cầu doanh nghiệp quảng cáo nước ngoài bổ sung, hoàn chỉnh hồ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3.000.000 Đồng</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đủ hồ sơ hợp lệ, Ủy ban nhân dân cấp tỉnh xem xét, cấp Giấy phép thành lập Văn phòng đại diện và gửi bản sao giấy phép đó đến Bộ Văn hóa, Thể thao và Du lịch. Trường hợp hồ sơ chưa hợp lệ, trong thời gian 03 ngày, kể từ ngày nhận hồ sơ, Ủy ban nhân dân cấp tỉnh gửi văn bản yêu cầu doanh nghiệp quảng cáo nước ngoài bổ sung, hoàn chỉnh hồ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tài chính có kiểm toán hoặc các tài liệu khác có giá trị tương đương chứng minh được sự tồn tại và hoạt động của doanh nghiệp quảng cáo nước ngoài trong năm tài chính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Các giấy tờ quy định tại Điểm 2 và Điểm 3 nêu trên phải dịch ra tiếng Việt và được cơ quan đại diện ngoại giao, cơ quan lãnh sự của Việt Nam ở nước ngoài chứng thực và thực hiện việc hợp pháp hóa lãnh sự theo quy định của pháp luật Việt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đề nghị cấp Giấy phép thành lập Văn phòng đại diện của doanh nghiệp quảng cáo nước ngoài (Mẫu số 02 phụ lục III ban hành kèm theo Thông tư số 13/2023/TT-BVHTTDL ngày 30/10/2023 của Bộ trưởng Bộ Văn hóa, Thể thao và Du lịch sửa đổi, bổ sung quy định liên quan đến giấy tờ công dân tại một số Thông tư do Bộ trưởng Bộ Văn hóa, Thể thao và Du lịch ban hành)</w:t>
            </w:r>
          </w:p>
        </w:tc>
        <w:tc>
          <w:p/>
          <w:p>
            <w:pPr>
              <w:spacing w:after="0" w:before="0" w:lineRule="auto" w:line="276"/>
              <w:jc w:val="left"/>
            </w:pPr>
            <w:r>
              <w:rPr>
                <w:rFonts w:ascii="Times New Roman" w:hAnsi="Times New Roman" w:cs="Times New Roman" w:eastAsia="Times New Roman"/>
                <w:b w:val="false"/>
                <w:sz w:val="26"/>
              </w:rPr>
              <w:t>Mau so 01-05 TT13.doc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đăng ký kinh doanh hoặc các giấy tờ có giá trị tương đương của doanh nghiệp nước ngoài được cơ quan có thẩm quyền nơi doanh nghiệp thành lập hoặc đăng ký kinh doanh xác nhận. Trường hợp thông tin Giấy chứng nhận đăng ký kinh doanh đã có trên Cơ sở dữ liệu quốc gia về đăng ký doanh nghiệp thì không phải nộp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của doanh nghiệp quảng cáo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16/2012/QH13</w:t>
            </w:r>
          </w:p>
        </w:tc>
        <w:tc>
          <w:p/>
          <w:p>
            <w:pPr>
              <w:spacing w:after="0" w:before="0" w:lineRule="auto" w:line="276"/>
              <w:jc w:val="left"/>
            </w:pPr>
            <w:r>
              <w:rPr>
                <w:rFonts w:ascii="Times New Roman" w:hAnsi="Times New Roman" w:cs="Times New Roman" w:eastAsia="Times New Roman"/>
                <w:b w:val="false"/>
                <w:sz w:val="26"/>
              </w:rPr>
              <w:t>Luật 16/2012/QH13-Quảng cáo</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181/2013/NĐ-CP</w:t>
            </w:r>
          </w:p>
        </w:tc>
        <w:tc>
          <w:p/>
          <w:p>
            <w:pPr>
              <w:spacing w:after="0" w:before="0" w:lineRule="auto" w:line="276"/>
              <w:jc w:val="left"/>
            </w:pPr>
            <w:r>
              <w:rPr>
                <w:rFonts w:ascii="Times New Roman" w:hAnsi="Times New Roman" w:cs="Times New Roman" w:eastAsia="Times New Roman"/>
                <w:b w:val="false"/>
                <w:sz w:val="26"/>
              </w:rPr>
              <w:t>Nghị định 181/2013/NĐ-CP-Quy định chi tiết thi hành một số điều của Luật Quảng Cáo</w:t>
            </w:r>
          </w:p>
        </w:tc>
        <w:tc>
          <w:p/>
          <w:p>
            <w:pPr>
              <w:spacing w:after="0" w:before="0" w:lineRule="auto" w:line="276"/>
              <w:jc w:val="left"/>
            </w:pPr>
            <w:r>
              <w:rPr>
                <w:rFonts w:ascii="Times New Roman" w:hAnsi="Times New Roman" w:cs="Times New Roman" w:eastAsia="Times New Roman"/>
                <w:b w:val="false"/>
                <w:sz w:val="26"/>
              </w:rPr>
              <w:t>14-11-2013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165/2016/TT-BTC</w:t>
            </w:r>
          </w:p>
        </w:tc>
        <w:tc>
          <w:p/>
          <w:p>
            <w:pPr>
              <w:spacing w:after="0" w:before="0" w:lineRule="auto" w:line="276"/>
              <w:jc w:val="left"/>
            </w:pPr>
            <w:r>
              <w:rPr>
                <w:rFonts w:ascii="Times New Roman" w:hAnsi="Times New Roman" w:cs="Times New Roman" w:eastAsia="Times New Roman"/>
                <w:b w:val="false"/>
                <w:sz w:val="26"/>
              </w:rPr>
              <w:t>Thông tư 165/2016/TT-BTC ngày 25/10/2016</w:t>
            </w:r>
          </w:p>
        </w:tc>
        <w:tc>
          <w:p/>
          <w:p>
            <w:pPr>
              <w:spacing w:after="0" w:before="0" w:lineRule="auto" w:line="276"/>
              <w:jc w:val="left"/>
            </w:pPr>
            <w:r>
              <w:rPr>
                <w:rFonts w:ascii="Times New Roman" w:hAnsi="Times New Roman" w:cs="Times New Roman" w:eastAsia="Times New Roman"/>
                <w:b w:val="false"/>
                <w:sz w:val="26"/>
              </w:rPr>
              <w:t>25-10-2016</w:t>
            </w:r>
          </w:p>
        </w:tc>
        <w:tc>
          <w:p/>
        </w:tc>
      </w:tr>
      <w:tr>
        <w:tc>
          <w:p/>
          <w:p>
            <w:pPr>
              <w:spacing w:after="0" w:before="0" w:lineRule="auto" w:line="276"/>
              <w:jc w:val="left"/>
            </w:pPr>
            <w:r>
              <w:rPr>
                <w:rFonts w:ascii="Times New Roman" w:hAnsi="Times New Roman" w:cs="Times New Roman" w:eastAsia="Times New Roman"/>
                <w:b w:val="false"/>
                <w:sz w:val="26"/>
              </w:rPr>
              <w:t>13/2023/TT-BVHTTDL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 SĐBS quy định đến các giấy tờ công dân</w:t>
            </w:r>
          </w:p>
        </w:tc>
        <w:tc>
          <w:p/>
          <w:p>
            <w:pPr>
              <w:spacing w:after="0" w:before="0" w:lineRule="auto" w:line="276"/>
              <w:jc w:val="left"/>
            </w:pPr>
            <w:r>
              <w:rPr>
                <w:rFonts w:ascii="Times New Roman" w:hAnsi="Times New Roman" w:cs="Times New Roman" w:eastAsia="Times New Roman"/>
                <w:b w:val="false"/>
                <w:sz w:val="26"/>
              </w:rPr>
              <w:t>30-10-2023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2026-05-01T13:26:58Z</dcterms:created>
  <dc:creator>Apache POI</dc:creator>
</cp:coreProperties>
</file>