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biện pháp bảo đảm bằng tài sản là động sản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tại một trong các Trung tâm Đăng ký giao dịch, tài sản của Cục Đăng ký quốc gia giao dịch bảo đảm thuộc Bộ Tư pháp;</w:t>
      </w:r>
    </w:p>
    <w:p>
      <w:pPr>
        <w:spacing w:after="0" w:before="0" w:lineRule="auto" w:line="276"/>
        <w:jc w:val="both"/>
      </w:pPr>
      <w:r>
        <w:rPr>
          <w:rFonts w:ascii="Times New Roman" w:hAnsi="Times New Roman" w:cs="Times New Roman" w:eastAsia="Times New Roman"/>
          <w:b w:val="false"/>
          <w:sz w:val="26"/>
        </w:rPr>
        <w:t>- Trung tâm Đăng ký kiểm tra hồ sơ để quyết định việc đăng ký. Trung tâm Đăng ký nhập thông tin về biện pháp bảo đảm trên phiếu yêu cầu đăng ký vào cơ sở dữ liệu về biện pháp bảo đảm (Trong trường hợp có căn cứ từ chối, Trung tâm Đăng ký thông báo bằng văn bản cho người yêu cầu đăng ký trong đó nêu rõ lý do);</w:t>
      </w:r>
    </w:p>
    <w:p>
      <w:pPr>
        <w:spacing w:after="0" w:before="0" w:lineRule="auto" w:line="276"/>
        <w:jc w:val="both"/>
      </w:pPr>
      <w:r>
        <w:rPr>
          <w:rFonts w:ascii="Times New Roman" w:hAnsi="Times New Roman" w:cs="Times New Roman" w:eastAsia="Times New Roman"/>
          <w:b w:val="false"/>
          <w:sz w:val="26"/>
        </w:rPr>
        <w:t xml:space="preserve">- Trả văn bản chứng nhận đăng ký biện pháp bảo đảm có xác nhận của Trung tâm Đăng ký cho người yêu cầu đăng ký.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ngay trong ngày làm việc tiếp theo. Trường hợp phải kéo dài thời gian giải quyết hồ sơ thì cũng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ngay trong ngày làm việc tiếp theo. Trường hợp phải kéo dài thời gian giải quyết hồ sơ thì cũng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ngay trong ngày làm việc tiếp theo. Trường hợp phải kéo dài thời gian giải quyết hồ sơ thì cũng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thế chấp hoặc hợp đồng sửa đổi, bổ sung hợp đồng thế chấp trong trường hợp phiếu yêu cầu đăng ký chỉ có chữ ký, con dấu của một trong các bên tham gia biện pháp bảo đảm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trong trường hợp người yêu cầu đăng ký là người được ủy quyền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đối với trường hợp không phải nộp phí khi thực hiện đăng ký biện pháp bảo đảm theo quy định tại Điều 12 của Nghị định số 102/2017/NĐ-CP.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xóa đăng ký quy định tại điểm i khoản 1 Điều 21 của Nghị định số 102/2017/NĐ-CP (cơ quan thi hành án dân sự hoặc Văn phòng thừa phát lại đã kê biên, xử lý xong tài sản bảo đảm), hồ sơ gồm: - Phiếu yêu cầu đăng ký (01 bản chính); - Văn bản ủy quyền trong trường hợp người yêu cầu đăng ký là người được ủy quyền (01 bản chính hoặc 01 bản sao có chứng thực hoặc 01 bản sao không có chứng thực kèm bản chính để đối chiếu); - Giấy tờ chứng minh đối với trường hợp không phải nộp phí khi thực hiện đăng ký biện pháp bảo đảm theo quy định tại Điều 12 của Nghị định số 102/2017/NĐ-CP; - Văn bản xác nhận kết quả xử lý tài sản bảo đảm của cơ quan thi hành án dân sự hoặc Văn phòng thừa phát lại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xóa đăng ký (Mẫu số 05)</w:t>
            </w:r>
          </w:p>
        </w:tc>
        <w:tc>
          <w:p/>
          <w:p>
            <w:pPr>
              <w:spacing w:after="0" w:before="0" w:lineRule="auto" w:line="276"/>
              <w:jc w:val="left"/>
            </w:pPr>
            <w:r>
              <w:rPr>
                <w:rFonts w:ascii="Times New Roman" w:hAnsi="Times New Roman" w:cs="Times New Roman" w:eastAsia="Times New Roman"/>
                <w:b w:val="false"/>
                <w:sz w:val="26"/>
              </w:rPr>
              <w:t>III.6. MAU 05_Phieu yeu cau xoa dang ky - dong san khac.DOC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Đăng ký giao dịch, tài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Trung tâm Đăng ký giao dịch, tài sản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Ngõ 25 đường Nguyễn Cơ Thạch, phường Mỹ Đình 2, quận Nam Từ Liêm,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bản chứng nhận đăng ký biện pháp bảo đảm, hợp đồng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22/2010/TT-BTP</w:t>
            </w:r>
          </w:p>
        </w:tc>
        <w:tc>
          <w:p/>
          <w:p>
            <w:pPr>
              <w:spacing w:after="0" w:before="0" w:lineRule="auto" w:line="276"/>
              <w:jc w:val="left"/>
            </w:pPr>
            <w:r>
              <w:rPr>
                <w:rFonts w:ascii="Times New Roman" w:hAnsi="Times New Roman" w:cs="Times New Roman" w:eastAsia="Times New Roman"/>
                <w:b w:val="false"/>
                <w:sz w:val="26"/>
              </w:rPr>
              <w:t>Hướng dẫn về đăng ký, cung cấp thông tin trực tuyến giao dịch bảo đảm, hợp đồng, thông báo việc kê biên tài sản thi hành án</w:t>
            </w:r>
          </w:p>
        </w:tc>
        <w:tc>
          <w:p/>
          <w:p>
            <w:pPr>
              <w:spacing w:after="0" w:before="0" w:lineRule="auto" w:line="276"/>
              <w:jc w:val="left"/>
            </w:pPr>
            <w:r>
              <w:rPr>
                <w:rFonts w:ascii="Times New Roman" w:hAnsi="Times New Roman" w:cs="Times New Roman" w:eastAsia="Times New Roman"/>
                <w:b w:val="false"/>
                <w:sz w:val="26"/>
              </w:rPr>
              <w:t>06-12-2010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05/2011/TT-BTP</w:t>
            </w:r>
          </w:p>
        </w:tc>
        <w:tc>
          <w:p/>
          <w:p>
            <w:pPr>
              <w:spacing w:after="0" w:before="0" w:lineRule="auto" w:line="276"/>
              <w:jc w:val="left"/>
            </w:pPr>
            <w:r>
              <w:rPr>
                <w:rFonts w:ascii="Times New Roman" w:hAnsi="Times New Roman" w:cs="Times New Roman" w:eastAsia="Times New Roman"/>
                <w:b w:val="false"/>
                <w:sz w:val="26"/>
              </w:rPr>
              <w:t>Hướng dẫn một số vấn đề về đăng ký, cung cấp thông tin về giao dịch bảo đảm, hợp đồng, thông báo việc kê biên tài sản thi hành án theo phương thức trực tiếp, bưu điện, fax, thư điện tử tại Trung tâm Đăng ký giao dịch, tài sản của Cục Đăng ký quốc gia giao dịch bảo đảm thuộc Bộ Tư pháp</w:t>
            </w:r>
          </w:p>
        </w:tc>
        <w:tc>
          <w:p/>
          <w:p>
            <w:pPr>
              <w:spacing w:after="0" w:before="0" w:lineRule="auto" w:line="276"/>
              <w:jc w:val="left"/>
            </w:pPr>
            <w:r>
              <w:rPr>
                <w:rFonts w:ascii="Times New Roman" w:hAnsi="Times New Roman" w:cs="Times New Roman" w:eastAsia="Times New Roman"/>
                <w:b w:val="false"/>
                <w:sz w:val="26"/>
              </w:rPr>
              <w:t>16-02-2011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08/2014/TT-BTP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05/2011/TT-BTP ngày 16 tháng 02 năm 2011 của Bộ Tư pháp hướng dẫn một số vấn đề về đăng ký, cung cấp thông tin về giao dịch bảo đảm, hợp đồng, thông báo việc kê biên tài sản thi hành án theo phương thức trực tiếp, bưu điện, fax, thư điện tử tại trung tâm đăng ký giao dịch, tài sản của cục đăng ký quốc gia giao dịch bảo đảm thuộc bộ tư pháp và Thông tư số 22/2010/TT-BTP ngày 06 tháng 12 năm 2010 của Bộ Tư pháp hướng dẫn về đăng ký, cung cấp thông tin trực tuyến giao dịch bảo đảm, hợp đồng, thông báo việc kê biên tài sản thi hành án</w:t>
            </w:r>
          </w:p>
        </w:tc>
        <w:tc>
          <w:p/>
          <w:p>
            <w:pPr>
              <w:spacing w:after="0" w:before="0" w:lineRule="auto" w:line="276"/>
              <w:jc w:val="left"/>
            </w:pPr>
            <w:r>
              <w:rPr>
                <w:rFonts w:ascii="Times New Roman" w:hAnsi="Times New Roman" w:cs="Times New Roman" w:eastAsia="Times New Roman"/>
                <w:b w:val="false"/>
                <w:sz w:val="26"/>
              </w:rPr>
              <w:t>26-02-2014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11/2015/TT-BTP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08/2014/TT-BTP ngày 26 tháng 02 năm 2014 của Bộ Tư pháp sửa đổi, bổ sung một số điều của Thông tư số 05/2011/TT-BTP ngày 16 tháng 02 năm 2011 của Bộ Tư pháp hướng dẫn một số vấn đề về đăng ký, cung cấp thông tin về giao dịch bảo đảm, hợp đồng, thông báo việc kê biên tài sản thi hành án theo phương thức trực tiếp, bưu điện, fax, thư điện tử tại Trung tâm Đăng ký giao dịch, tài sản của Cục Đăng ký quốc gia giao dịch bảo đảm thuộc Bộ Tư pháp và Thông tư số 22/2010/TT-BTP ngày 06 tháng 12 năm 2010 của Bộ Tư pháp hướng dẫn về đăng ký, cung cấp thông tin trực tuyến giao dịch bảo đảm, hợp đồng, thông báo việc kê biên tài sản thi hành án</w:t>
            </w:r>
          </w:p>
        </w:tc>
        <w:tc>
          <w:p/>
          <w:p>
            <w:pPr>
              <w:spacing w:after="0" w:before="0" w:lineRule="auto" w:line="276"/>
              <w:jc w:val="left"/>
            </w:pPr>
            <w:r>
              <w:rPr>
                <w:rFonts w:ascii="Times New Roman" w:hAnsi="Times New Roman" w:cs="Times New Roman" w:eastAsia="Times New Roman"/>
                <w:b w:val="false"/>
                <w:sz w:val="26"/>
              </w:rPr>
              <w:t>01-09-2015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202/2016/TT-BTC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đăng ký giao dịch bảo đảm</w:t>
            </w:r>
          </w:p>
        </w:tc>
        <w:tc>
          <w:p/>
          <w:p>
            <w:pPr>
              <w:spacing w:after="0" w:before="0" w:lineRule="auto" w:line="276"/>
              <w:jc w:val="left"/>
            </w:pPr>
            <w:r>
              <w:rPr>
                <w:rFonts w:ascii="Times New Roman" w:hAnsi="Times New Roman" w:cs="Times New Roman" w:eastAsia="Times New Roman"/>
                <w:b w:val="false"/>
                <w:sz w:val="26"/>
              </w:rPr>
              <w:t>09-11-2016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113/2017/TT-BTC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202/2016/TT-BTC ngày 09 tháng 11 năm 2016 của Bộ trưởng Bộ Tài chính quy định mức thu, chế độ thu, nộp, quản lý và sử dụng phí trong lĩnh vực đăng ký giao dịch bảo đảm</w:t>
            </w:r>
          </w:p>
        </w:tc>
        <w:tc>
          <w:p/>
          <w:p>
            <w:pPr>
              <w:spacing w:after="0" w:before="0" w:lineRule="auto" w:line="276"/>
              <w:jc w:val="left"/>
            </w:pPr>
            <w:r>
              <w:rPr>
                <w:rFonts w:ascii="Times New Roman" w:hAnsi="Times New Roman" w:cs="Times New Roman" w:eastAsia="Times New Roman"/>
                <w:b w:val="false"/>
                <w:sz w:val="26"/>
              </w:rPr>
              <w:t>20-10-2017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08/2018/TT-BTP</w:t>
            </w:r>
          </w:p>
        </w:tc>
        <w:tc>
          <w:p/>
          <w:p>
            <w:pPr>
              <w:spacing w:after="0" w:before="0" w:lineRule="auto" w:line="276"/>
              <w:jc w:val="left"/>
            </w:pPr>
            <w:r>
              <w:rPr>
                <w:rFonts w:ascii="Times New Roman" w:hAnsi="Times New Roman" w:cs="Times New Roman" w:eastAsia="Times New Roman"/>
                <w:b w:val="false"/>
                <w:sz w:val="26"/>
              </w:rPr>
              <w:t>Hướng dẫn một số vấn đề về đăng ký, cung cấp thông tin về biện pháp bảo đảm, hợp đồng và trao đổi thông tin về đăng ký biện pháp bảo đảm tại các Trung tâm Đăng ký giao dịch, tài sản của Cục Đăng ký quốc gia giao dịch bảo đảm thuộc Bộ Tư pháp</w:t>
            </w:r>
          </w:p>
        </w:tc>
        <w:tc>
          <w:p/>
          <w:p>
            <w:pPr>
              <w:spacing w:after="0" w:before="0" w:lineRule="auto" w:line="276"/>
              <w:jc w:val="left"/>
            </w:pPr>
            <w:r>
              <w:rPr>
                <w:rFonts w:ascii="Times New Roman" w:hAnsi="Times New Roman" w:cs="Times New Roman" w:eastAsia="Times New Roman"/>
                <w:b w:val="false"/>
                <w:sz w:val="26"/>
              </w:rPr>
              <w:t>20-06-2018</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2026-05-19T11:30:45Z</dcterms:created>
  <dc:creator>Apache POI</dc:creator>
</cp:coreProperties>
</file>