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cấp Học viện (trừ Học viện Quân y), Nhà trường, Viện nghiên cứu, Bệnh viện, Tổng công ty và cấp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Khiếu nại thuộc thẩm quyền giải quyết của Giám đốc Học viện (trừ Học viện Quân y), Hiệu trưởng Nhà trường, Viện trưởng Viện nghiên cứu, Giám đốc Bệnh viện, Tổng Giám đốc công ty, và cấp tương đương, người khiếu nại có thể trực tiếp khiếu nại tại nơi tiếp công dân hoặc gửi đơn và các tài liệu liên quan (nếu có) cụ thể:
-	Xác minh nội dung khiếu nại: Trong thời hạn giải quyết khiếu nại lần đầu theo quy định tại Điều 28 Luật Khiếu nại, cơ quan có thẩm quyền có trách nhiệm:
+ Kiểm tra lại quyết định hành chính, hành vi hành chính của mình, của người có trách nhiệm do mình quản lý trực tiếp, nếu khiếu nại đúng thì ra quyết định giải quyết khiếu nại.
+ Trường hợp chưa có cơ sở kết luận nội dung khiếu nại thì tự mình tiến hành xác minh, kết luận nội dung khiếu nại hoặc giao cơ quan thanh tra hoặc cơ quan, tổ chức, cá nhân có trách nhiệm xác minh nội dung khiếu nại, kiến nghị giải quyết khiếu nại.
-	Việc xác minh nội dung khiếu nại được thực hiện theo quy định tại Điều 29 Luật Khiếu nại, Mục 2, chương II của Thông tư số 07/2013/TT-TTCP ngày 31 tháng 10 năm 2013 của Tổng Thanh tra Chính phủ quy định quy trình giải quyết khiếu nại hành chính, Điều 11, Điều 12, Điều 13 Thông tư 218/2013/TT-BQP ngày 19/12/2013 của Bộ Quốc phòng hướng dẫn khiếu nại và giải quyết khiếu nại trong Quân đội.</w:t>
      </w:r>
    </w:p>
    <w:p>
      <w:pPr>
        <w:spacing w:after="0" w:before="0" w:lineRule="auto" w:line="276"/>
        <w:jc w:val="both"/>
      </w:pPr>
      <w:r>
        <w:rPr>
          <w:rFonts w:ascii="Times New Roman" w:hAnsi="Times New Roman" w:cs="Times New Roman" w:eastAsia="Times New Roman"/>
          <w:b w:val="false"/>
          <w:sz w:val="26"/>
        </w:rPr>
        <w:t>2.	Tổ chức đối thoại
-	Trong quá trình giải quyết khiếu nại lần đầu, nếu yêu cầu của người khiếu nại và kết quả xác minh nội dung khiếu nại còn khác nhau thì người giải quyết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việc đối thoại phải tiến hành công khai, dân chủ theo quy định tại Điều 30, Luật Khiếu nại
-	Trường hợp người có thẩm quyền giải quyết khiếu nại không thể tham gia đối thoại (do thực hiện nhiệm vụ) thì uỷ quyền cho Chánh Thanh tra cấp mình hoặc Trưởng đoàn xác minh tiến hành đối thoại khi ban hành quyết định giải quyết.
-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ghi rõ lý do.</w:t>
      </w:r>
    </w:p>
    <w:p>
      <w:pPr>
        <w:spacing w:after="0" w:before="0" w:lineRule="auto" w:line="276"/>
        <w:jc w:val="both"/>
      </w:pPr>
      <w:r>
        <w:rPr>
          <w:rFonts w:ascii="Times New Roman" w:hAnsi="Times New Roman" w:cs="Times New Roman" w:eastAsia="Times New Roman"/>
          <w:b w:val="false"/>
          <w:sz w:val="26"/>
        </w:rPr>
        <w:t>3.	Ra quyết định giải quyết khiếu nại
-	Thanh tra hoặc cán bộ phụ trách thanh tra kiêm nhiệm và các cơ quan chức năng cấp Học viện (trừ Học viện Quân y), Nhà trường, Viện nghiên cứu, Bệnh viện, Tổng công ty và cấp tương đương được giao xác minh, báo cáo trình Thủ trưởng cơ quan, đơn vị về kết quả xác minh, kiến nghị biện pháp giải quyết;
- Thủ trưởng cơ quan, đơn vị ra quyết định giải quyết khiếu nại bằng văn bản và trong thời hạn 3 ngày làm việc và gửi quyết định giải quyết khiếu nại cho người khiếu nại, người bị khiếu nại, người có quyền, nghĩa vụ liên quan và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Tiến hành công khai, dân chủ, trực tiếp, bằng văn bản với cơ quan, tổ chức, cá nhân liên quan tại cơ quan, đơn vị nơi phát sinh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Đơn khiếu nại.doc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uỷ quyền (nếu có).</w:t>
            </w:r>
          </w:p>
        </w:tc>
        <w:tc>
          <w:p/>
          <w:p>
            <w:pPr>
              <w:spacing w:after="0" w:before="0" w:lineRule="auto" w:line="276"/>
              <w:jc w:val="left"/>
            </w:pPr>
            <w:r>
              <w:rPr>
                <w:rFonts w:ascii="Times New Roman" w:hAnsi="Times New Roman" w:cs="Times New Roman" w:eastAsia="Times New Roman"/>
                <w:b w:val="false"/>
                <w:sz w:val="26"/>
              </w:rPr>
              <w:t>Giấy ủy quyền khiếu nại.doc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liên quan (nếu có).</w:t>
            </w:r>
          </w:p>
        </w:tc>
        <w:tc>
          <w:p/>
          <w:p>
            <w:pPr>
              <w:spacing w:after="0" w:before="0" w:lineRule="auto" w:line="276"/>
              <w:jc w:val="left"/>
            </w:pPr>
            <w:r>
              <w:rPr>
                <w:rFonts w:ascii="Times New Roman" w:hAnsi="Times New Roman" w:cs="Times New Roman" w:eastAsia="Times New Roman"/>
                <w:b w:val="false"/>
                <w:sz w:val="26"/>
              </w:rPr>
              <w:t>Mẫu số 07-KN- Giấy biên nhận.doc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Quốc phòng, Giám đốc Bệnh viện, Hiệu trưởng nhà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Khiếu nại</w:t>
            </w:r>
          </w:p>
        </w:tc>
        <w:tc>
          <w:p/>
          <w:p>
            <w:pPr>
              <w:spacing w:after="0" w:before="0" w:lineRule="auto" w:line="276"/>
              <w:jc w:val="left"/>
            </w:pPr>
            <w:r>
              <w:rPr>
                <w:rFonts w:ascii="Times New Roman" w:hAnsi="Times New Roman" w:cs="Times New Roman" w:eastAsia="Times New Roman"/>
                <w:b w:val="false"/>
                <w:sz w:val="26"/>
              </w:rPr>
              <w:t>01-11-2011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Bộ</w:t>
            </w:r>
          </w:p>
        </w:tc>
      </w:tr>
      <w:tr>
        <w:tc>
          <w:p/>
          <w:p>
            <w:pPr>
              <w:spacing w:after="0" w:before="0" w:lineRule="auto" w:line="276"/>
              <w:jc w:val="left"/>
            </w:pPr>
            <w:r>
              <w:rPr>
                <w:rFonts w:ascii="Times New Roman" w:hAnsi="Times New Roman" w:cs="Times New Roman" w:eastAsia="Times New Roman"/>
                <w:b w:val="false"/>
                <w:sz w:val="26"/>
              </w:rPr>
              <w:t>218/2013/TT-BQP</w:t>
            </w:r>
          </w:p>
        </w:tc>
        <w:tc>
          <w:p/>
          <w:p>
            <w:pPr>
              <w:spacing w:after="0" w:before="0" w:lineRule="auto" w:line="276"/>
              <w:jc w:val="left"/>
            </w:pPr>
            <w:r>
              <w:rPr>
                <w:rFonts w:ascii="Times New Roman" w:hAnsi="Times New Roman" w:cs="Times New Roman" w:eastAsia="Times New Roman"/>
                <w:b w:val="false"/>
                <w:sz w:val="26"/>
              </w:rPr>
              <w:t>Thông tư 218/2013/TT-BQP</w:t>
            </w:r>
          </w:p>
        </w:tc>
        <w:tc>
          <w:p/>
          <w:p>
            <w:pPr>
              <w:spacing w:after="0" w:before="0" w:lineRule="auto" w:line="276"/>
              <w:jc w:val="left"/>
            </w:pPr>
            <w:r>
              <w:rPr>
                <w:rFonts w:ascii="Times New Roman" w:hAnsi="Times New Roman" w:cs="Times New Roman" w:eastAsia="Times New Roman"/>
                <w:b w:val="false"/>
                <w:sz w:val="26"/>
              </w:rPr>
              <w:t>19-12-2013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2, Điều 8 và Điều 11 Luật Khiếu nại:
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được Toà án thụ lý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2026-04-29T17:02:08Z</dcterms:created>
  <dc:creator>Apache POI</dc:creator>
</cp:coreProperties>
</file>