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190/QĐ-BVHTTDL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hồ sơ thông báo sản phẩm quảng cáo trên bảng quảng cáo, băng-rôn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Quảng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có nhu cầu thực hiện quảng cáo trên bảng quảng cáo, băng-rôn tại địa phương gửi 01 bộ hồ sơ thông báo đến Sở Văn hóa, Thể thao và Du lịch/Sở Văn hóa và Thể thao trước khi thực hiện quảng cáo.
- Trong thời hạn 05 ngày làm việc, kể từ ngày Sở Văn hóa, Thể thao và Du lịch/Sở Văn hóa và Thể thao xác nhận về việc nhận hồ sơ, nếu không có ý kiến trả lời thì tổ chức, cá nhân được thực hiện sản phẩm quảng cáo đã thông báo. Trong trường hợp Sở Văn hóa, Thể thao và Du lịch/Sở Văn hóa và Thể thao không đồng 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Sở Văn hóa, Thể thao và Du lịch/Sở Văn hóa và Thể thao xác nhận về việc nhận hồ sơ, nếu không có ý kiến trả lời thì tổ chức, cá nhân được thực hiện sản phẩm quảng cáo đã thông báo. Trong trường hợp Sở Văn hóa, Thể thao và Du lịch/Sở Văn hóa và Thể thao không đồng ý,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Sở Văn hóa, Thể thao và Du lịch/Sở Văn hóa và Thể thao xác nhận về việc nhận hồ sơ, nếu không có ý kiến trả lời thì tổ chức, cá nhân được thực hiện sản phẩm quảng cáo đã thông báo. Trong trường hợp Sở Văn hóa, Thể thao và Du lịch/Sở Văn hóa và Thể thao không đồng ý,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Sở Văn hóa, Thể thao và Du lịch/Sở Văn hóa và Thể thao xác nhận về việc nhận hồ sơ, nếu không có ý kiến trả lời thì tổ chức, cá nhân được thực hiện sản phẩm quảng cáo đã thông báo. Trong trường hợp Sở Văn hóa, Thể thao và Du lịch/Sở Văn hóa và Thể thao không đồng ý,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chứng minh sự hợp chuẩn, hợp quy của sản phẩm, hàng hoá, dịch vụ theo quy định của pháp luật hoặc giấy tờ chứng minh đủ điều kiện để quảng cáo theo quy định tại Điều 20 của Luật quảng cáo;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về việc tổ chức sự kiện của đơn vị tổ chức trong trường hợp quảng cáo cho sự kiện, chính sách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Ma-két sản phẩm quảng cáo in mầu có chữ ký của người kinh doanh dịch vụ quảng cáo hoặc chữ ký của người quảng cáo trong trường hợp tự thực hiện quảng cáo. Trong trường hợp người kinh doanh dịch vụ quảng cáo, người quảng cáo là tổ chức thì phải có dấu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quyền sở hữu hoặc quyền sử dụng bảng quảng cáo; quyền sở hữu hoặc quyền sử dụng địa điểm quảng cáo đối với băng-rôn;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phối cảnh vị trí đặt bảng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xây dựng công trình quảng cáo đối với loại bảng quảng cáo phải có giấy phép xây dựng theo quy định tại khoản 2 Điều 31 của Luật quảng cáo.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báo sản phẩm quảng cáo trên bảng quảng cáo, băng-rôn (Mẫu số 01 phụ lục III ban hành kèm theo Thông tư số13/2023/TT-BVHTTDL ngày 30/10/2023 của Bộ trưởng Bộ Văn hóa, Thể thao và Du lịch sửa đổi, bổ sung quy định liên quan đến giấy tờ công dân tại một số Thông tư do Bộ trưởng Bộ Văn hóa, Thể thao và Du lịch ban hành).</w:t>
            </w:r>
          </w:p>
        </w:tc>
        <w:tc>
          <w:p/>
          <w:p>
            <w:pPr>
              <w:spacing w:after="0" w:before="0" w:lineRule="auto" w:line="276"/>
              <w:jc w:val="left"/>
            </w:pPr>
            <w:r>
              <w:rPr>
                <w:rFonts w:ascii="Times New Roman" w:hAnsi="Times New Roman" w:cs="Times New Roman" w:eastAsia="Times New Roman"/>
                <w:b w:val="false"/>
                <w:sz w:val="26"/>
              </w:rPr>
              <w:t>Mau so 01-05 TT13.doc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Văn hoá, Thể thao và Du lịch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342/2025/NĐ-CP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QUẢNG CÁO</w:t>
            </w:r>
          </w:p>
        </w:tc>
        <w:tc>
          <w:p/>
          <w:p>
            <w:pPr>
              <w:spacing w:after="0" w:before="0" w:lineRule="auto" w:line="276"/>
              <w:jc w:val="left"/>
            </w:pPr>
            <w:r>
              <w:rPr>
                <w:rFonts w:ascii="Times New Roman" w:hAnsi="Times New Roman" w:cs="Times New Roman" w:eastAsia="Times New Roman"/>
                <w:b w:val="false"/>
                <w:sz w:val="26"/>
              </w:rPr>
              <w:t>26-12-2025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2026-05-01T13:18:12Z</dcterms:created>
  <dc:creator>Apache POI</dc:creator>
</cp:coreProperties>
</file>