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GPXD đối với công trình, nhà ở riêng lẻ XD trong đô thị, trung tâm cụm xã, trong khu bảo tồn, khu di tích lịch sử- văn hóa thuộc địa bàn quản lý, trừ các công trình thuộc thẩm quyền cấp GPXD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dựng;ư</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bổ sung chưa đáp ứng được yêu cầu theo văn bản thông báo</w:t>
      </w:r>
    </w:p>
    <w:p>
      <w:pPr>
        <w:spacing w:after="0" w:before="0" w:lineRule="auto" w:line="276"/>
        <w:jc w:val="both"/>
      </w:pPr>
      <w:r>
        <w:rPr>
          <w:rFonts w:ascii="Times New Roman" w:hAnsi="Times New Roman" w:cs="Times New Roman" w:eastAsia="Times New Roman"/>
          <w:b w:val="false"/>
          <w:sz w:val="26"/>
        </w:rPr>
        <w:t xml:space="preserve">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w:t>
      </w:r>
    </w:p>
    <w:p>
      <w:pPr>
        <w:shd w:val="clear" w:color="auto" w:fill="F2F6F9"/>
        <w:spacing w:after="0" w:before="120" w:lineRule="auto" w:line="276"/>
        <w:jc w:val="both"/>
      </w:pPr>
      <w:r>
        <w:rPr>
          <w:rFonts w:ascii="Times New Roman" w:hAnsi="Times New Roman" w:cs="Times New Roman" w:eastAsia="Times New Roman"/>
          <w:b w:val="true"/>
          <w:sz w:val="26"/>
        </w:rPr>
        <w:t>Trường hợp việc bổ sung hồ sơ vẫn không đáp ứng được các nội dung theo thông báo thì trong thời hạn 03 ngày làm việc</w:t>
      </w:r>
    </w:p>
    <w:p>
      <w:pPr>
        <w:spacing w:after="0" w:before="0" w:lineRule="auto" w:line="276"/>
        <w:jc w:val="both"/>
      </w:pPr>
      <w:r>
        <w:rPr>
          <w:rFonts w:ascii="Times New Roman" w:hAnsi="Times New Roman" w:cs="Times New Roman" w:eastAsia="Times New Roman"/>
          <w:b w:val="false"/>
          <w:sz w:val="26"/>
        </w:rPr>
        <w:t>cơ quan có thẩm quyền có trách nhiệm thông báo đến chủ đầu tư về lý do không cấp giấy phép</w:t>
      </w:r>
    </w:p>
    <w:p>
      <w:pPr>
        <w:shd w:val="clear" w:color="auto" w:fill="F2F6F9"/>
        <w:spacing w:after="0" w:before="120" w:lineRule="auto" w:line="276"/>
        <w:jc w:val="both"/>
      </w:pPr>
      <w:r>
        <w:rPr>
          <w:rFonts w:ascii="Times New Roman" w:hAnsi="Times New Roman" w:cs="Times New Roman" w:eastAsia="Times New Roman"/>
          <w:b w:val="true"/>
          <w:sz w:val="26"/>
        </w:rPr>
        <w:t>Trường hợp đến thời hạn cấp giấy phép nhưng cần phải xem xét thêm</w:t>
      </w:r>
    </w:p>
    <w:p>
      <w:pPr>
        <w:spacing w:after="0" w:before="0" w:lineRule="auto" w:line="276"/>
        <w:jc w:val="both"/>
      </w:pPr>
      <w:r>
        <w:rPr>
          <w:rFonts w:ascii="Times New Roman" w:hAnsi="Times New Roman" w:cs="Times New Roman" w:eastAsia="Times New Roman"/>
          <w:b w:val="false"/>
          <w:sz w:val="26"/>
        </w:rPr>
        <w:t>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hai bộ bản vẽ thiết kế kỹ thuật hoặc thiết kế bản vẽ thi công được phê duyệt theo quy định của pháp luật về xây dựng, mỗi bộ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một trong những giấy tờ chứng minh quyền sử dụng đất theo quy định của pháp luật về đất đai theo quy định của pháp luật về đất đai tại Nghị định số 53/2017/NĐ-CP ngày 08/5/2017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95/2005/NĐ-CP ngày 15 tháng 7 năm 2005 của Chính phủ về việc cấp giấy chứng nhận quyền sở hữu nhà ở, quyền sở hữu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90/2006/NĐ-CP ngày 06 tháng 9 năm 2006 của Chính phủ quy định chi tiết và hướng dẫn thi hành Luật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Điều 31, Điều 32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Các loại giấy tờ đủ điều kiện để cấp giấy chứng nhận quyền sử dụng đất, quyền sở hữu nhà ở và tài sản khác gắn liền với đất nhưng chưa được cấp giấy chứng nhận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đối với công trình xây dựng tại khu vực không thuộc nhóm đất có mục đích sử dụng cho xây dựng, không chuyển đổi được mục đích sử dụng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hợp đồng thuê đất hoặc hợp đồng thuê công trình đối với trường hợp thuê đất hoặc thuê công trình để xây dựng công trình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không theo tuyến; Công trình tín ngưỡng; Công trình của cơ quan ngoại giao và tổ chức quốc tế,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quảng cáo,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theo tuyến trong đô thị,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tuyến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tổng thể hoặc bản vẽ bình đồ công trình tỷ lệ 1/500 - 1/5000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cắt ngang chủ yếu của tuyến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Riêng đối với công trình ngầm phải bổ sung thêm: Bản vẽ các mặt cắt ngang, các mặt cắt dọc thể hiện chiều sâu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biển quảng cáo được gắn vào công trình đã được xây dựng hợp pháp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kết cấu của bộ phận công trình tại vị trí gắn biển quảng cáo tỷ lệ 1/50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công trình xây dựng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cắt móng và mặt cắt công trình tỷ lệ 1/50; + Bản vẽ các mặt đứng chính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chung cấp giấy phép xây dựng đối với nhà ở riêng lẻ tại đô thị gồm:
a) Phù hợp với mục đích sử dụng đất theo quy hoạch sử dụng đất được phê duyệt;
b)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c) Thiết kế xây dựng nhà ở riêng lẻ được thực hiện theo quy định tại khoản 7 Điều 79 của Luật này;
d) Hồ sơ đề nghị cấp giấy phép xây dựng theo quy định tại khoản 1 Điều 95, Điều 96 và Điều 97 của Luật này.
2. Đối với nhà ở riêng lẻ tại đô thị phải đáp ứng các điều kiện quy định tại mục 1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3. Đối với nhà ở riêng lẻ tại nông thôn khi xây dựng phải phù hợp với quy hoạch chi tiết xây dựng điểm dân cư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2026-05-01T22:52:03Z</dcterms:created>
  <dc:creator>Apache POI</dc:creator>
</cp:coreProperties>
</file>