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xác nhận thực vật biến đổi gen đủ điều kiện sử dụng làm thực phẩm, thức ăn chăn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vi phạm quy định tại khoản 1 Điều 29 và khoản 1 Điều 34 của Nghị định 69/2010/NĐ-CPngày 21/6/2010 của Chính phủ về an toàn sinh học đối với sinh vật biến đổi gen, mẫu vật di truyền và sản phẩm của sinh vật biến đổi gen thì bị thu hồi Giấy xác nhận thực vật biến đổi gen đủ điều kiện sử dụng làm thực phẩm, thức ăn chăn nuôi.</w:t>
      </w:r>
    </w:p>
    <w:p>
      <w:pPr>
        <w:spacing w:after="0" w:before="0" w:lineRule="auto" w:line="276"/>
        <w:jc w:val="both"/>
      </w:pPr>
      <w:r>
        <w:rPr>
          <w:rFonts w:ascii="Times New Roman" w:hAnsi="Times New Roman" w:cs="Times New Roman" w:eastAsia="Times New Roman"/>
          <w:b w:val="false"/>
          <w:sz w:val="26"/>
        </w:rPr>
        <w:t>Bước 2: Căn cứ kết quả thẩm định của Hội đồng, trình Bộ trưởng Bộ Nông nghiệp và Môi trường xem xét, ra quyết định thu hồi Giấy xác nhận;
- Đối với các trường hợp quy định tại điểm a, điểm b khoản 1 Điều 29 và điểm a, điểm b khoản 1 Điều 34 của Nghị định 69/2010/NĐ-CP, Bộ Nông nghiệp và Phát triển nông thôn tổ chức Hội đồng để thẩm định hồ sơ và xem xét việc thu hồi Giấy xác nhận;
- Đối với các trường hợp quy định tại điểm c khoản 1 Điều 29 và điểm c khoản 1 Điều 34 của Nghị định 69/2010/NĐ-CP, Vụ Khoa học, và Công nghệ tổ chức các cuộc họp Hội đồng hoặc hội đồng tư vấn độc lập thẩm định hồ sơ việc thu hồi Giấy xác nhận.</w:t>
      </w:r>
    </w:p>
    <w:p>
      <w:pPr>
        <w:spacing w:after="0" w:before="0" w:lineRule="auto" w:line="276"/>
        <w:jc w:val="both"/>
      </w:pPr>
      <w:r>
        <w:rPr>
          <w:rFonts w:ascii="Times New Roman" w:hAnsi="Times New Roman" w:cs="Times New Roman" w:eastAsia="Times New Roman"/>
          <w:b w:val="false"/>
          <w:sz w:val="26"/>
        </w:rPr>
        <w:t>Bước 3: Căn cứ kết quả thẩm định của Hội đồng, trình Bộ trưởng Bộ Nông nghiệp và Môi trường xem xét, ra quyết định thu hồi Giấy xác nhận</w:t>
      </w:r>
    </w:p>
    <w:p>
      <w:pPr>
        <w:spacing w:after="0" w:before="0" w:lineRule="auto" w:line="276"/>
        <w:jc w:val="both"/>
      </w:pPr>
      <w:r>
        <w:rPr>
          <w:rFonts w:ascii="Times New Roman" w:hAnsi="Times New Roman" w:cs="Times New Roman" w:eastAsia="Times New Roman"/>
          <w:b w:val="false"/>
          <w:sz w:val="26"/>
        </w:rPr>
        <w:t>Bước 4: Thông báo trên các phương tiện thông tin đại chúng và các cơ quan liên quan trong thời gian không quá 03 (ba) ngày kể từ ngày có quyết định thu hồi Giấy xác nhận, và gửi Quyết định (bản chính) cho tổ chức, cá nhân bị thu hồi Giấy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69/2010/NĐ-CP</w:t>
            </w:r>
          </w:p>
        </w:tc>
        <w:tc>
          <w:p/>
          <w:p>
            <w:pPr>
              <w:spacing w:after="0" w:before="0" w:lineRule="auto" w:line="276"/>
              <w:jc w:val="left"/>
            </w:pPr>
            <w:r>
              <w:rPr>
                <w:rFonts w:ascii="Times New Roman" w:hAnsi="Times New Roman" w:cs="Times New Roman" w:eastAsia="Times New Roman"/>
                <w:b w:val="false"/>
                <w:sz w:val="26"/>
              </w:rPr>
              <w:t>Nghị định 69/2010/NĐ-CP</w:t>
            </w:r>
          </w:p>
        </w:tc>
        <w:tc>
          <w:p/>
          <w:p>
            <w:pPr>
              <w:spacing w:after="0" w:before="0" w:lineRule="auto" w:line="276"/>
              <w:jc w:val="left"/>
            </w:pPr>
            <w:r>
              <w:rPr>
                <w:rFonts w:ascii="Times New Roman" w:hAnsi="Times New Roman" w:cs="Times New Roman" w:eastAsia="Times New Roman"/>
                <w:b w:val="false"/>
                <w:sz w:val="26"/>
              </w:rPr>
              <w:t>21-06-2010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02/2014/TT-BNNPTNT</w:t>
            </w:r>
          </w:p>
        </w:tc>
        <w:tc>
          <w:p/>
          <w:p>
            <w:pPr>
              <w:spacing w:after="0" w:before="0" w:lineRule="auto" w:line="276"/>
              <w:jc w:val="left"/>
            </w:pPr>
            <w:r>
              <w:rPr>
                <w:rFonts w:ascii="Times New Roman" w:hAnsi="Times New Roman" w:cs="Times New Roman" w:eastAsia="Times New Roman"/>
                <w:b w:val="false"/>
                <w:sz w:val="26"/>
              </w:rPr>
              <w:t>Thông tư 02/2014/TT-BNNPTNT - Quy định trình tự, thủ tục cấp và thu hồi giấy xác nhận thực vật biến đổi gen đủ điều kiện sử dụng làm thực phẩm, thức ăn chăn nuôi</w:t>
            </w:r>
          </w:p>
        </w:tc>
        <w:tc>
          <w:p/>
          <w:p>
            <w:pPr>
              <w:spacing w:after="0" w:before="0" w:lineRule="auto" w:line="276"/>
              <w:jc w:val="left"/>
            </w:pPr>
            <w:r>
              <w:rPr>
                <w:rFonts w:ascii="Times New Roman" w:hAnsi="Times New Roman" w:cs="Times New Roman" w:eastAsia="Times New Roman"/>
                <w:b w:val="false"/>
                <w:sz w:val="26"/>
              </w:rPr>
              <w:t>24-01-2014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xác nhận bị xem xét thu hồi trong các trường hợp quy định tại khoản 1 Điều 29 và khoản 1 Điều 34 của Nghị định 69/2010/NĐ-CP ngày 21/6/2010 của Chính phủ về an toàn sinh học đối với sinh vật biến đổi gen, mẫu vật di truyền và sản phẩm của sinh vật biến đổi gen.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2026-05-26T18:39:25Z</dcterms:created>
  <dc:creator>Apache POI</dc:creator>
</cp:coreProperties>
</file>