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1.004756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1649/QĐ-BNNMT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Chứng chỉ hành nghề thú y</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Thú y</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Cá nhân có nhu cầu được cấp Chứng chỉ hành nghề thú y (bao gồm khám bệnh, chẩn đoán bệnh, phẫu thuật động vật, xét nghiệm bệnh động vật; buôn bán thuốc thú y dùng trong thú y cho động vật trên cạn; buôn bán thuốc thú y dùng trong thú y cho động vật thủy sản; sản xuất thuốc thú y dùng trong thú y cho động vật trên cạn; sản xuất thuốc thú y dùng trong thú y cho động vật thủy sản; xuất khẩu, nhập khẩu thuốc thú y dùng trong thú y cho động vật trên cạn; xuất khẩu, nhập khẩu thuốc thú y dùng trong thú y cho động vật thủy sản; khảo nghiệm thuốc thú y dùng trong thú y cho động vật trên cạn; khảo nghiệm thuốc thú y dùng trong thú y cho động vật thủy sản; kiểm nghiệm thuốc thú y dùng trong thú y cho động vật trên cạn; kiểm nghiệm thuốc thú y dùng trong thú y cho động vật thủy sản) nộp hồ sơ đến Cơ quan được Chủ tịch Ủy ban nhân dân cấp tỉnh giao giải quyết thủ tục hành chính trong lĩnh vực chăn nuôi và thú y.	
- Bước 2: Cơ quan được Chủ tịch Ủy ban nhân dân cấp tỉnh giao giải quyết thủ tục hành chính trong lĩnh vực chăn nuôi và thú y xem xét, quyết định cấp Chứng chỉ hành nghề thú y (trong 03 ngày làm việc);
Trường hợp không cấp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50.000 Đồng</w:t>
              <w:t xml:space="preserve"> (50.000 đồng/lần (theo quy định tại Thông tư số 101/2020/TT-BTC ngày 23/11/2020 của Bộ Tài chính quy định mức thu, chế độ thu, nộp, quản lý phí, lệ phí trong công tác thú y))</w:t>
            </w:r>
          </w:p>
          <w:p>
            <w:pPr>
              <w:spacing w:after="0" w:before="0" w:lineRule="auto" w:line="276"/>
              <w:jc w:val="left"/>
            </w:pPr>
            <w:r>
              <w:rPr>
                <w:rFonts w:ascii="Times New Roman" w:hAnsi="Times New Roman" w:cs="Times New Roman" w:eastAsia="Times New Roman"/>
                <w:b w:val="false"/>
                <w:sz w:val="26"/>
              </w:rPr>
              <w:t xml:space="preserve">Lệ phí : 25.000 </w:t>
              <w:t xml:space="preserve"> (25.000 đồng/lần (áp dụng từ kể từ ngày 01 tháng 7 năm 2025 đến hết ngày 31 tháng 12 năm 2026 theo quy định tại Thông tư 64/2025/TT-BTC ngày 30/6/2025 của Bộ Tài chính 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03 ngày làm việc kể từ ngày nhận được được hồ sơ đầy đủ,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Lệ phí : 25.000 </w:t>
              <w:t xml:space="preserve"> (25.000 đồng/lần (áp dụng từ kể từ ngày 01 tháng 7 năm 2025 đến hết ngày 31 tháng 12 năm 2026 theo quy định tại Thông tư 64/2025/TT-BTC ngày 30/6/2025 của Bộ Tài chính quy định mức thu, miễn một số khoản phí, lệ phí nhằm hỗ trợ cho doanh nghiệp, người dân.))</w:t>
            </w:r>
          </w:p>
          <w:p>
            <w:pPr>
              <w:spacing w:after="0" w:before="0" w:lineRule="auto" w:line="276"/>
              <w:jc w:val="left"/>
            </w:pPr>
            <w:r>
              <w:rPr>
                <w:rFonts w:ascii="Times New Roman" w:hAnsi="Times New Roman" w:cs="Times New Roman" w:eastAsia="Times New Roman"/>
                <w:b w:val="false"/>
                <w:sz w:val="26"/>
              </w:rPr>
              <w:t>Lệ phí : 50.000 Đồng</w:t>
              <w:t xml:space="preserve"> (50.000 đồng/lần (theo quy định tại Thông tư số 101/2020/TT-BTC ngày 23/11/2020 của Bộ Tài chính quy định mức thu, chế độ thu, nộp, quản lý phí, lệ phí trong công tác thú y))</w:t>
            </w:r>
          </w:p>
        </w:tc>
        <w:tc>
          <w:p/>
          <w:p>
            <w:pPr>
              <w:spacing w:after="0" w:before="0" w:lineRule="auto" w:line="276"/>
              <w:jc w:val="left"/>
            </w:pPr>
            <w:r>
              <w:rPr>
                <w:rFonts w:ascii="Times New Roman" w:hAnsi="Times New Roman" w:cs="Times New Roman" w:eastAsia="Times New Roman"/>
                <w:b w:val="false"/>
                <w:sz w:val="26"/>
              </w:rPr>
              <w:t>03 ngày làm việc kể từ ngày nhận được được hồ sơ đầy đủ,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Lệ phí : 25.000 </w:t>
              <w:t xml:space="preserve"> (25.000 đồng/lần (áp dụng từ kể từ ngày 01 tháng 7 năm 2025 đến hết ngày 31 tháng 12 năm 2026 theo quy định tại Thông tư 64/2025/TT-BTC ngày 30/6/2025 của Bộ Tài chính quy định mức thu, miễn một số khoản phí, lệ phí nhằm hỗ trợ cho doanh nghiệp, người dân.))</w:t>
            </w:r>
          </w:p>
          <w:p>
            <w:pPr>
              <w:spacing w:after="0" w:before="0" w:lineRule="auto" w:line="276"/>
              <w:jc w:val="left"/>
            </w:pPr>
            <w:r>
              <w:rPr>
                <w:rFonts w:ascii="Times New Roman" w:hAnsi="Times New Roman" w:cs="Times New Roman" w:eastAsia="Times New Roman"/>
                <w:b w:val="false"/>
                <w:sz w:val="26"/>
              </w:rPr>
              <w:t>Lệ phí : 50.000 Đồng</w:t>
              <w:t xml:space="preserve"> (50.000 đồng/lần (theo quy định tại Thông tư số 101/2020/TT-BTC ngày 23/11/2020 của Bộ Tài chính quy định mức thu, chế độ thu, nộp, quản lý phí, lệ phí trong công tác thú y))</w:t>
            </w:r>
          </w:p>
        </w:tc>
        <w:tc>
          <w:p/>
          <w:p>
            <w:pPr>
              <w:spacing w:after="0" w:before="0" w:lineRule="auto" w:line="276"/>
              <w:jc w:val="left"/>
            </w:pPr>
            <w:r>
              <w:rPr>
                <w:rFonts w:ascii="Times New Roman" w:hAnsi="Times New Roman" w:cs="Times New Roman" w:eastAsia="Times New Roman"/>
                <w:b w:val="false"/>
                <w:sz w:val="26"/>
              </w:rPr>
              <w:t>03 ngày làm việc kể từ ngày nhận được được hồ sơ đầy đủ,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theo Mẫu số 01.HNTY Phụ lục IB ban hành kèm theo Nghị định số 32/2026/NĐ-CP ngày 21/01/2026 của Chính phủ sửa đổi, bổ sung một số điều của các Nghị định trong lĩnh vực chăn nuôi và thú y.</w:t>
            </w:r>
          </w:p>
        </w:tc>
        <w:tc>
          <w:p/>
          <w:p>
            <w:pPr>
              <w:spacing w:after="0" w:before="0" w:lineRule="auto" w:line="276"/>
              <w:jc w:val="left"/>
            </w:pPr>
            <w:r>
              <w:rPr>
                <w:rFonts w:ascii="Times New Roman" w:hAnsi="Times New Roman" w:cs="Times New Roman" w:eastAsia="Times New Roman"/>
                <w:b w:val="false"/>
                <w:sz w:val="26"/>
              </w:rPr>
              <w:t>Mau_01_HNTY.docx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bằng chuyên môn hoặc Giấy xác nhận đã qua tập huấn chuyên môn phù hợp với từng loại hình hành nghề thú y. Trường hợp văn bằng chuyên môn không thể hiện chuyên ngành phải bổ sung giấy tờ xác nhận chuyên ngành do cơ sở đào tạo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sức khỏe;</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người nước ngoài, ngoài những giấy tờ nêu trên còn phải có Giấy phép lao động hoặc giấy xác nhận không thuộc diện cấp giấy phép lao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Chứng chỉ hành nghề thú  y</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79/2015/QH13</w:t>
            </w:r>
          </w:p>
        </w:tc>
        <w:tc>
          <w:p/>
          <w:p>
            <w:pPr>
              <w:spacing w:after="0" w:before="0" w:lineRule="auto" w:line="276"/>
              <w:jc w:val="left"/>
            </w:pPr>
            <w:r>
              <w:rPr>
                <w:rFonts w:ascii="Times New Roman" w:hAnsi="Times New Roman" w:cs="Times New Roman" w:eastAsia="Times New Roman"/>
                <w:b w:val="false"/>
                <w:sz w:val="26"/>
              </w:rPr>
              <w:t>Luật Thú y</w:t>
            </w:r>
          </w:p>
        </w:tc>
        <w:tc>
          <w:p/>
          <w:p>
            <w:pPr>
              <w:spacing w:after="0" w:before="0" w:lineRule="auto" w:line="276"/>
              <w:jc w:val="left"/>
            </w:pPr>
            <w:r>
              <w:rPr>
                <w:rFonts w:ascii="Times New Roman" w:hAnsi="Times New Roman" w:cs="Times New Roman" w:eastAsia="Times New Roman"/>
                <w:b w:val="false"/>
                <w:sz w:val="26"/>
              </w:rPr>
              <w:t>19-06-2015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35/2016/NĐ-CP	</w:t>
            </w:r>
          </w:p>
        </w:tc>
        <w:tc>
          <w:p/>
          <w:p>
            <w:pPr>
              <w:spacing w:after="0" w:before="0" w:lineRule="auto" w:line="276"/>
              <w:jc w:val="left"/>
            </w:pPr>
            <w:r>
              <w:rPr>
                <w:rFonts w:ascii="Times New Roman" w:hAnsi="Times New Roman" w:cs="Times New Roman" w:eastAsia="Times New Roman"/>
                <w:b w:val="false"/>
                <w:sz w:val="26"/>
              </w:rPr>
              <w:t>Quy định chi tiết một số điều của Luật thú y	</w:t>
            </w:r>
          </w:p>
        </w:tc>
        <w:tc>
          <w:p/>
          <w:p>
            <w:pPr>
              <w:spacing w:after="0" w:before="0" w:lineRule="auto" w:line="276"/>
              <w:jc w:val="left"/>
            </w:pPr>
            <w:r>
              <w:rPr>
                <w:rFonts w:ascii="Times New Roman" w:hAnsi="Times New Roman" w:cs="Times New Roman" w:eastAsia="Times New Roman"/>
                <w:b w:val="false"/>
                <w:sz w:val="26"/>
              </w:rPr>
              <w:t>15-05-2016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101/2020/TT-BTC</w:t>
            </w:r>
          </w:p>
        </w:tc>
        <w:tc>
          <w:p/>
          <w:p>
            <w:pPr>
              <w:spacing w:after="0" w:before="0" w:lineRule="auto" w:line="276"/>
              <w:jc w:val="left"/>
            </w:pPr>
            <w:r>
              <w:rPr>
                <w:rFonts w:ascii="Times New Roman" w:hAnsi="Times New Roman" w:cs="Times New Roman" w:eastAsia="Times New Roman"/>
                <w:b w:val="false"/>
                <w:sz w:val="26"/>
              </w:rPr>
              <w:t>Thông tư 101/2020/TT-BTC</w:t>
            </w:r>
          </w:p>
        </w:tc>
        <w:tc>
          <w:p/>
          <w:p>
            <w:pPr>
              <w:spacing w:after="0" w:before="0" w:lineRule="auto" w:line="276"/>
              <w:jc w:val="left"/>
            </w:pPr>
            <w:r>
              <w:rPr>
                <w:rFonts w:ascii="Times New Roman" w:hAnsi="Times New Roman" w:cs="Times New Roman" w:eastAsia="Times New Roman"/>
                <w:b w:val="false"/>
                <w:sz w:val="26"/>
              </w:rPr>
              <w:t>23-11-2020</w:t>
            </w:r>
          </w:p>
        </w:tc>
        <w:tc>
          <w:p/>
        </w:tc>
      </w:tr>
      <w:tr>
        <w:tc>
          <w:p/>
          <w:p>
            <w:pPr>
              <w:spacing w:after="0" w:before="0" w:lineRule="auto" w:line="276"/>
              <w:jc w:val="left"/>
            </w:pPr>
            <w:r>
              <w:rPr>
                <w:rFonts w:ascii="Times New Roman" w:hAnsi="Times New Roman" w:cs="Times New Roman" w:eastAsia="Times New Roman"/>
                <w:b w:val="false"/>
                <w:sz w:val="26"/>
              </w:rPr>
              <w:t>136/2025/NĐ-CP</w:t>
            </w:r>
          </w:p>
        </w:tc>
        <w:tc>
          <w:p/>
          <w:p>
            <w:pPr>
              <w:spacing w:after="0" w:before="0" w:lineRule="auto" w:line="276"/>
              <w:jc w:val="left"/>
            </w:pPr>
            <w:r>
              <w:rPr>
                <w:rFonts w:ascii="Times New Roman" w:hAnsi="Times New Roman" w:cs="Times New Roman" w:eastAsia="Times New Roman"/>
                <w:b w:val="false"/>
                <w:sz w:val="26"/>
              </w:rPr>
              <w:t>136/2025/NĐ-CP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09/2025/TT-BNNMT</w:t>
            </w:r>
          </w:p>
        </w:tc>
        <w:tc>
          <w:p/>
          <w:p>
            <w:pPr>
              <w:spacing w:after="0" w:before="0" w:lineRule="auto" w:line="276"/>
              <w:jc w:val="left"/>
            </w:pPr>
            <w:r>
              <w:rPr>
                <w:rFonts w:ascii="Times New Roman" w:hAnsi="Times New Roman" w:cs="Times New Roman" w:eastAsia="Times New Roman"/>
                <w:b w:val="false"/>
                <w:sz w:val="26"/>
              </w:rPr>
              <w:t>09/2025/TT-BNNMT</w:t>
            </w:r>
          </w:p>
        </w:tc>
        <w:tc>
          <w:p/>
          <w:p>
            <w:pPr>
              <w:spacing w:after="0" w:before="0" w:lineRule="auto" w:line="276"/>
              <w:jc w:val="left"/>
            </w:pPr>
            <w:r>
              <w:rPr>
                <w:rFonts w:ascii="Times New Roman" w:hAnsi="Times New Roman" w:cs="Times New Roman" w:eastAsia="Times New Roman"/>
                <w:b w:val="false"/>
                <w:sz w:val="26"/>
              </w:rPr>
              <w:t>19-06-2025</w:t>
            </w:r>
          </w:p>
        </w:tc>
        <w:tc>
          <w:p/>
        </w:tc>
      </w:tr>
      <w:tr>
        <w:tc>
          <w:p/>
          <w:p>
            <w:pPr>
              <w:spacing w:after="0" w:before="0" w:lineRule="auto" w:line="276"/>
              <w:jc w:val="left"/>
            </w:pPr>
            <w:r>
              <w:rPr>
                <w:rFonts w:ascii="Times New Roman" w:hAnsi="Times New Roman" w:cs="Times New Roman" w:eastAsia="Times New Roman"/>
                <w:b w:val="false"/>
                <w:sz w:val="26"/>
              </w:rPr>
              <w:t>số 32/2026/NĐ-CP</w:t>
            </w:r>
          </w:p>
        </w:tc>
        <w:tc>
          <w:p/>
          <w:p>
            <w:pPr>
              <w:spacing w:after="0" w:before="0" w:lineRule="auto" w:line="276"/>
              <w:jc w:val="left"/>
            </w:pPr>
            <w:r>
              <w:rPr>
                <w:rFonts w:ascii="Times New Roman" w:hAnsi="Times New Roman" w:cs="Times New Roman" w:eastAsia="Times New Roman"/>
                <w:b w:val="false"/>
                <w:sz w:val="26"/>
              </w:rPr>
              <w:t>Nghị định số 32/2026/NĐ-CP ngày 21 tháng 01 năm 2026 của Chính phủ sửa đổi, bổ sung một số điều của các Nghị định trong lĩnh vực chăn nuôi và thú y.</w:t>
            </w:r>
          </w:p>
        </w:tc>
        <w:tc>
          <w:p/>
          <w:p>
            <w:pPr>
              <w:spacing w:after="0" w:before="0" w:lineRule="auto" w:line="276"/>
              <w:jc w:val="left"/>
            </w:pPr>
            <w:r>
              <w:rPr>
                <w:rFonts w:ascii="Times New Roman" w:hAnsi="Times New Roman" w:cs="Times New Roman" w:eastAsia="Times New Roman"/>
                <w:b w:val="false"/>
                <w:sz w:val="26"/>
              </w:rPr>
              <w:t>21-01-2026</w:t>
            </w:r>
          </w:p>
        </w:tc>
        <w:tc>
          <w:p/>
          <w:p>
            <w:pPr>
              <w:spacing w:after="0" w:before="0" w:lineRule="auto" w:line="276"/>
              <w:jc w:val="left"/>
            </w:pPr>
            <w:r>
              <w:rPr>
                <w:rFonts w:ascii="Times New Roman" w:hAnsi="Times New Roman" w:cs="Times New Roman" w:eastAsia="Times New Roman"/>
                <w:b w:val="false"/>
                <w:sz w:val="26"/>
              </w:rPr>
              <w:t>Thủ tướng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Người hành nghề chẩn đoán, chữa bệnh, phẫu thuật động vật, tư vấn các hoạt động liên quan đến lĩnh vực thú y tối thiểu phải có bằng trung cấp chuyên ngành thú y, chăn nuôi thú y đối với hành nghề thú y cho động vật trên cạn hoặc trung cấp nuôi trồng thủy sản, bệnh học thủy sản đối với hành nghề thú y cho động vật thủy sản. 
Người hành nghề tiêm phòng cho động vật tối thiểu phải được tập huấn về kỹ thuật tiêm phòng.
- Người phụ trách kỹ thuật của cơ sở phẫu thuật động vật, khám bệnh, chẩn đoán bệnh, xét nghiệm bệnh động vật phải có bằng Đại học trở lên chuyên ngành thú y, chăn nuôi thú y hoặc nuôi trồng thuỷ sản, bệnh học thủy sản đối với hành nghề thú y thuỷ sản.
- Người buôn bán thuốc thú y phải có bằng trung cấp trở lên chuyên ngành thú y, chăn nuôi thú y hoặc trung cấp nuôi trồng thuỷ sản, bệnh học thủy sản đối với hành nghề thú y thuỷ sản.
- Người phụ trách kỹ thuật của cơ sở khảo nghiệm, xuất khẩu, nhập khẩu thuốc thú y được quy định như sau:
+ Cơ sở khảo nghiệm, xuất khẩu, nhập khẩu thuốc dùng trong thú y cho động vật trên cạn phải có bằng Đại học trở lên chuyên ngành thú y, chăn nuôi thú y, dược sỹ, cử nhân hóa dược, hóa học, sinh học;
+ Cơ sở khảo nghiệm, xuất khẩu, nhập khẩu thuốc dùng trong thú y cho động vật thủy sản phải có bằng Đại học trở lên chuyên ngành nuôi trồng thuỷ sản, bệnh học thủy sản, dược sỹ, cử nhân hóa dược, hóa học, sinh học.
- Người phụ trách kỹ thuật của cơ sở sản xuất, kiểm nghiệm thuốc thú y được quy định như sau:
+ Cơ sở sản xuất, kiểm nghiệm thuốc là dược phẩm dùng trong thú y cho động vật trên cạn phải có bằng Đại học trở lên chuyên ngành thú y, dược sỹ, hóa dược; dùng trong thú y cho động vật thủy sản phải có bằng Đại học trở lên chuyên ngành nuôi trồng thủy sản, bệnh học thủy sản, dược sỹ, hóa dược; 
+ Cơ sở sản xuất, kiểm nghiệm thuốc là vắc xin, chế phẩm sinh học, vi sinh vật, hóa chất dùng trong thú y cho động vật trên cạn phải có bằng Đại học trở lên chuyên ngành thú y, chăn nuôi thú y, dược sỹ, cử nhân hóa dược, hóa học, sinh học; dùng trong thú y cho động vật thủy sản phải có bằng Đại học trở lên chuyên ngành nuôi trồng thủy sản, bệnh học thủy sản, sinh học, dược sỹ, cử nhân hóa dược, hóa học.
- Người hành nghề thú y có đủ sức khỏe hành nghề.</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2026-05-19T11:20:46Z</dcterms:created>
  <dc:creator>Apache POI</dc:creator>
</cp:coreProperties>
</file>