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trạm nạp CNG vào phương tiện vận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Sở Công Thương tiếp nhận Hồ sơ đề nghị cấp điều chỉnh Giấy chứng nhận đủ điều kiện trạm nạp CNG vào phương tiện vận tải.</w:t>
      </w:r>
    </w:p>
    <w:p>
      <w:pPr>
        <w:spacing w:after="0" w:before="0" w:lineRule="auto" w:line="276"/>
        <w:jc w:val="both"/>
      </w:pPr>
      <w:r>
        <w:rPr>
          <w:rFonts w:ascii="Times New Roman" w:hAnsi="Times New Roman" w:cs="Times New Roman" w:eastAsia="Times New Roman"/>
          <w:b w:val="false"/>
          <w:sz w:val="26"/>
        </w:rPr>
        <w:t>- Trong thời gian 07 ngày làm việc kể từ ngày nhận được hồ sơ đầy đủ và hợp lệ, Sở Công Thương có trách nhiệm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trạm nạp CNG vào phương tiện vận tải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NẠP LPG/LNG/CNG VÀO PHƯƠNG TIỆN VẬN TẢI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2026-04-30T22:46:34Z</dcterms:created>
  <dc:creator>Apache POI</dc:creator>
</cp:coreProperties>
</file>