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ghi trong giấy phép hoạt động báo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thay đổi các nội dung ghi trong Giấy phép xuất bản thêm ấn phẩm báo chí theo quy định tại khoản 3 Điều 20 Luật báo chí, cơ quan chủ quản báo chí gửi hồ sơ đề nghị Bộ Thông tin và Truyền thông chấp thuận việc thay đổi.
Trong thời hạn 30 ngày kể từ ngày nhận đủ hồ sơ hợp lệ, Bộ Thông tin và Truyền thông có trách nhiệm xem xét giải quyết việc thay đổi của cơ quan chủ quán báo chí; trường hợp không chấp thuận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việc thực hiện tôn chỉ, mục đích theo giấy phép (đối với trường hợp thay đổi tôn chỉ, mục đích);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của cơ quan báo chí có xác nhận của cơ quan chủ quản báo chí (đối với trường hợp thay đổi tên gọi cơ quan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48/2016/TT-BTTTT</w:t>
            </w:r>
          </w:p>
        </w:tc>
        <w:tc>
          <w:p/>
          <w:p>
            <w:pPr>
              <w:spacing w:after="0" w:before="0" w:lineRule="auto" w:line="276"/>
              <w:jc w:val="left"/>
            </w:pPr>
            <w:r>
              <w:rPr>
                <w:rFonts w:ascii="Times New Roman" w:hAnsi="Times New Roman" w:cs="Times New Roman" w:eastAsia="Times New Roman"/>
                <w:b w:val="false"/>
                <w:sz w:val="26"/>
              </w:rPr>
              <w:t>Thông tư 48/2016/TT-BTTTT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2026-05-21T16:50:53Z</dcterms:created>
  <dc:creator>Apache POI</dc:creator>
</cp:coreProperties>
</file>