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1.004851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267</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Thi đua khen thưởng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chuẩn bị hồ sơ theo quy định, nộp tại Phòng Thi đua – Khen thưởng; cán bộ làm công tác thi đua, khen thưởng xem xét tính đầy đủ và hợp lệ của hồ sơ, nếu đầy đủ và hợp lệ thì tiếp nhận, nếu chưa đúng và đủ thì hướng dẫn cho đối tượng đề nghị khen thưởng hoàn chỉnh.</w:t>
      </w:r>
    </w:p>
    <w:p>
      <w:pPr>
        <w:spacing w:after="0" w:before="0" w:lineRule="auto" w:line="276"/>
        <w:jc w:val="both"/>
      </w:pPr>
      <w:r>
        <w:rPr>
          <w:rFonts w:ascii="Times New Roman" w:hAnsi="Times New Roman" w:cs="Times New Roman" w:eastAsia="Times New Roman"/>
          <w:b w:val="false"/>
          <w:sz w:val="26"/>
        </w:rPr>
        <w:t xml:space="preserve"> Bước 2: Căn cứ hồ sơ đề nghị của cá nhân, tổ chức, Thường trực Hội đồng Thi đua – Khen thưởng tổng hợp, thẩm định hồ sơ, báo cáo Hội đồng Thi đua – Khen thưởng tại cuộc họp Hội đồng xét, trình Lãnh đạo Uỷ ban.
Trường hợp đề nghị khen thưởng đột xuất, Thường trực Hội đồng Thi đua - Khen thưởng Uỷ ban Dân tộc báo cáo Bộ trưởng, Chủ nhiệm Uỷ ban xem xét quyết định.</w:t>
      </w:r>
    </w:p>
    <w:p>
      <w:pPr>
        <w:spacing w:after="0" w:before="0" w:lineRule="auto" w:line="276"/>
        <w:jc w:val="both"/>
      </w:pPr>
      <w:r>
        <w:rPr>
          <w:rFonts w:ascii="Times New Roman" w:hAnsi="Times New Roman" w:cs="Times New Roman" w:eastAsia="Times New Roman"/>
          <w:b w:val="false"/>
          <w:sz w:val="26"/>
        </w:rPr>
        <w:t>Bước 3: Căn cứ  báo cáo kết quả của Hội đồng Thi đua – Khen thưởng, tập thể Lãnh đạo Uỷ ban xem xét, thông qua trước khi Bộ trưởng, Chủ nhiệm quyết định.</w:t>
      </w:r>
    </w:p>
    <w:p>
      <w:pPr>
        <w:spacing w:after="0" w:before="0" w:lineRule="auto" w:line="276"/>
        <w:jc w:val="both"/>
      </w:pPr>
      <w:r>
        <w:rPr>
          <w:rFonts w:ascii="Times New Roman" w:hAnsi="Times New Roman" w:cs="Times New Roman" w:eastAsia="Times New Roman"/>
          <w:b w:val="false"/>
          <w:sz w:val="26"/>
        </w:rPr>
        <w:t xml:space="preserve">Bước 4: Khi có Quyết định của Bộ trưởng, Chủ nhiệm Uỷ ban Dân tộc được ban hành, cơ quan, đơn vị tổ chức trao theo quy định.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Thời hạn giải quyết thủ tục khen thưởng định kỳ của mỗi đợt xét khen thưởng là 30 ngày làm việc kể từ khi nhận đủ hồ sơ theo quy định;
- Thời hạn giải quyết thủ tục khen thưởng đột xuất là 15 ngày làm việc kể từ khi nhận đủ hồ sơ theo quy định.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xml:space="preserve"> - Thời hạn giải quyết thủ tục khen thưởng định kỳ của mỗi đợt xét khen thưởng là 30 ngày làm việc kể từ khi nhận đủ hồ sơ theo quy định;
- Thời hạn giải quyết thủ tục khen thưởng đột xuất là 15 ngày làm việc kể từ khi nhận đủ hồ sơ theo quy định.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hình thức khen thưởng cấp Nhà nước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khen thưởng do Thủ trưởng cơ quan, đơn vị thuộc hệ thống cơ quan công tác dân tộc (hoặc văn bản đề nghị của các Bộ, ban, ngành, đoàn thể Trung ương)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kết công tác Thi đua, Khen thưởng của đơn vị. Báo cáo thành tích đề nghị khen thưởng của tập thể hoặc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tóm tắt về nội dung đề tài, sáng kiến, kinh nghiệm, các giải pháp công tác và quản lý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bình xét danh hiệu thi đua, hình thức khen thưởng của HĐTĐKT cơ sở (hoặc Liên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tập thể, cá nhân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chấm điểm thi đua</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Vụ Hợp tác Quốc tế (Đối với đề nghị tặng Bằng khen của Bộ trưởng, Chủ nhiệm cho tập thể, cá nhân có yếu tố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thi đua theo đợt, theo chuyên đề sẽ có văn bản hướng dẫn riêng</w:t>
            </w:r>
          </w:p>
        </w:tc>
        <w:tc>
          <w:p/>
        </w:tc>
        <w:tc>
          <w:p/>
          <w:p>
            <w:pPr>
              <w:spacing w:after="0" w:before="0" w:lineRule="auto" w:line="276"/>
              <w:jc w:val="left"/>
            </w:pPr>
            <w:r>
              <w:rPr>
                <w:rFonts w:ascii="Times New Roman" w:hAnsi="Times New Roman" w:cs="Times New Roman" w:eastAsia="Times New Roman"/>
                <w:b w:val="false"/>
                <w:sz w:val="26"/>
              </w:rPr>
              <w:t xml:space="preserve">Bản chính: </w:t>
              <w:t>4</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hình thức khen thưởng thuộc thẩm quyền của Bộ trưởng, Chủ nhiệm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khen thưởng do Thủ trưởng cơ quan, đơn vị thuộc hệ thống cơ quan công tác dân tộc (hoặc văn bản đề nghị của các Bộ, ban, ngành, đoàn thể Trung ương)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tổng kết công tác Thi đua, Khen thưởng của đơn vị. Báo cáo thành tích đề nghị khen thưởng của tập thể hoặc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tóm tắt về nội dung đề tài, sáng kiến, kinh nghiệm, các giải pháp công tác và quản lý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bình xét danh hiệu thi đua, hình thức khen thưởng của HĐTĐKT cơ sở (hoặc Liên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trích ngang tập thể, cá nhân đề nghị khen thưởng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Bảng chấm điểm thi đua</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Vụ Hợp tác Quốc tế (Đối với đề nghị tặng Bằng khen của Bộ trưởng, Chủ nhiệm cho tập thể, cá nhân có yếu tố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thi đua theo đợt, theo chuyên đề sẽ có văn bản hướng dẫn riêng</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Tổ chức cán bộ</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Dân tộc và Tôn giáo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Vụ Tổ chức Cán bộ</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hành chính; Văn bản hiệp y.</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15/2003/QH11</w:t>
            </w:r>
          </w:p>
        </w:tc>
        <w:tc>
          <w:p/>
          <w:p>
            <w:pPr>
              <w:spacing w:after="0" w:before="0" w:lineRule="auto" w:line="276"/>
              <w:jc w:val="left"/>
            </w:pPr>
            <w:r>
              <w:rPr>
                <w:rFonts w:ascii="Times New Roman" w:hAnsi="Times New Roman" w:cs="Times New Roman" w:eastAsia="Times New Roman"/>
                <w:b w:val="false"/>
                <w:sz w:val="26"/>
              </w:rPr>
              <w:t>Luật 15/2003/QH11 - Thi đua, khen thưởng</w:t>
            </w:r>
          </w:p>
        </w:tc>
        <w:tc>
          <w:p/>
          <w:p>
            <w:pPr>
              <w:spacing w:after="0" w:before="0" w:lineRule="auto" w:line="276"/>
              <w:jc w:val="left"/>
            </w:pPr>
            <w:r>
              <w:rPr>
                <w:rFonts w:ascii="Times New Roman" w:hAnsi="Times New Roman" w:cs="Times New Roman" w:eastAsia="Times New Roman"/>
                <w:b w:val="false"/>
                <w:sz w:val="26"/>
              </w:rPr>
              <w:t>26-11-2003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47/2005/QH11</w:t>
            </w:r>
          </w:p>
        </w:tc>
        <w:tc>
          <w:p/>
          <w:p>
            <w:pPr>
              <w:spacing w:after="0" w:before="0" w:lineRule="auto" w:line="276"/>
              <w:jc w:val="left"/>
            </w:pPr>
            <w:r>
              <w:rPr>
                <w:rFonts w:ascii="Times New Roman" w:hAnsi="Times New Roman" w:cs="Times New Roman" w:eastAsia="Times New Roman"/>
                <w:b w:val="false"/>
                <w:sz w:val="26"/>
              </w:rPr>
              <w:t>Luật 47/2005/QH11 -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14-06-2005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39/2013/QH13	</w:t>
            </w:r>
          </w:p>
        </w:tc>
        <w:tc>
          <w:p/>
          <w:p>
            <w:pPr>
              <w:spacing w:after="0" w:before="0" w:lineRule="auto" w:line="276"/>
              <w:jc w:val="left"/>
            </w:pPr>
            <w:r>
              <w:rPr>
                <w:rFonts w:ascii="Times New Roman" w:hAnsi="Times New Roman" w:cs="Times New Roman" w:eastAsia="Times New Roman"/>
                <w:b w:val="false"/>
                <w:sz w:val="26"/>
              </w:rPr>
              <w:t>Luật 39/2013/QH13 Sửa đổi, bổ sung một số điều của Luật Thi đua, khen thưởng</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 02/2015/TT-UBDT </w:t>
            </w:r>
          </w:p>
        </w:tc>
        <w:tc>
          <w:p/>
          <w:p>
            <w:pPr>
              <w:spacing w:after="0" w:before="0" w:lineRule="auto" w:line="276"/>
              <w:jc w:val="left"/>
            </w:pPr>
            <w:r>
              <w:rPr>
                <w:rFonts w:ascii="Times New Roman" w:hAnsi="Times New Roman" w:cs="Times New Roman" w:eastAsia="Times New Roman"/>
                <w:b w:val="false"/>
                <w:sz w:val="26"/>
              </w:rPr>
              <w:t>Thông tư 02/2015/TT-UBDT- Hướng dẫn công tác thi đua, khen thưởng trong hệ thống Cơ quan công tác dân tộc</w:t>
            </w:r>
          </w:p>
        </w:tc>
        <w:tc>
          <w:p/>
          <w:p>
            <w:pPr>
              <w:spacing w:after="0" w:before="0" w:lineRule="auto" w:line="276"/>
              <w:jc w:val="left"/>
            </w:pPr>
            <w:r>
              <w:rPr>
                <w:rFonts w:ascii="Times New Roman" w:hAnsi="Times New Roman" w:cs="Times New Roman" w:eastAsia="Times New Roman"/>
                <w:b w:val="false"/>
                <w:sz w:val="26"/>
              </w:rPr>
              <w:t>30-11-2015</w:t>
            </w:r>
          </w:p>
        </w:tc>
        <w:tc>
          <w:p/>
          <w:p>
            <w:pPr>
              <w:spacing w:after="0" w:before="0" w:lineRule="auto" w:line="276"/>
              <w:jc w:val="left"/>
            </w:pPr>
            <w:r>
              <w:rPr>
                <w:rFonts w:ascii="Times New Roman" w:hAnsi="Times New Roman" w:cs="Times New Roman" w:eastAsia="Times New Roman"/>
                <w:b w:val="false"/>
                <w:sz w:val="26"/>
              </w:rPr>
              <w:t>Bộ Dân tộc và Tôn giáo</w:t>
            </w:r>
          </w:p>
        </w:tc>
      </w:tr>
      <w:tr>
        <w:tc>
          <w:p/>
          <w:p>
            <w:pPr>
              <w:spacing w:after="0" w:before="0" w:lineRule="auto" w:line="276"/>
              <w:jc w:val="left"/>
            </w:pPr>
            <w:r>
              <w:rPr>
                <w:rFonts w:ascii="Times New Roman" w:hAnsi="Times New Roman" w:cs="Times New Roman" w:eastAsia="Times New Roman"/>
                <w:b w:val="false"/>
                <w:sz w:val="26"/>
              </w:rPr>
              <w:t>91/2017/NĐ-CP</w:t>
            </w:r>
          </w:p>
        </w:tc>
        <w:tc>
          <w:p/>
          <w:p>
            <w:pPr>
              <w:spacing w:after="0" w:before="0" w:lineRule="auto" w:line="276"/>
              <w:jc w:val="left"/>
            </w:pPr>
            <w:r>
              <w:rPr>
                <w:rFonts w:ascii="Times New Roman" w:hAnsi="Times New Roman" w:cs="Times New Roman" w:eastAsia="Times New Roman"/>
                <w:b w:val="false"/>
                <w:sz w:val="26"/>
              </w:rPr>
              <w:t>Nghị định 91/2017/NĐ-CP</w:t>
            </w:r>
          </w:p>
        </w:tc>
        <w:tc>
          <w:p/>
          <w:p>
            <w:pPr>
              <w:spacing w:after="0" w:before="0" w:lineRule="auto" w:line="276"/>
              <w:jc w:val="left"/>
            </w:pPr>
            <w:r>
              <w:rPr>
                <w:rFonts w:ascii="Times New Roman" w:hAnsi="Times New Roman" w:cs="Times New Roman" w:eastAsia="Times New Roman"/>
                <w:b w:val="false"/>
                <w:sz w:val="26"/>
              </w:rPr>
              <w:t>31-07-2017</w:t>
            </w:r>
          </w:p>
        </w:tc>
        <w:tc>
          <w:p/>
        </w:tc>
      </w:tr>
      <w:tr>
        <w:tc>
          <w:p/>
          <w:p>
            <w:pPr>
              <w:spacing w:after="0" w:before="0" w:lineRule="auto" w:line="276"/>
              <w:jc w:val="left"/>
            </w:pPr>
            <w:r>
              <w:rPr>
                <w:rFonts w:ascii="Times New Roman" w:hAnsi="Times New Roman" w:cs="Times New Roman" w:eastAsia="Times New Roman"/>
                <w:b w:val="false"/>
                <w:sz w:val="26"/>
              </w:rPr>
              <w:t>08/2017/TT-BNV</w:t>
            </w:r>
          </w:p>
        </w:tc>
        <w:tc>
          <w:p/>
          <w:p>
            <w:pPr>
              <w:spacing w:after="0" w:before="0" w:lineRule="auto" w:line="276"/>
              <w:jc w:val="left"/>
            </w:pPr>
            <w:r>
              <w:rPr>
                <w:rFonts w:ascii="Times New Roman" w:hAnsi="Times New Roman" w:cs="Times New Roman" w:eastAsia="Times New Roman"/>
                <w:b w:val="false"/>
                <w:sz w:val="26"/>
              </w:rPr>
              <w:t>Thông tư 08/2017/TT-BNV</w:t>
            </w:r>
          </w:p>
        </w:tc>
        <w:tc>
          <w:p/>
          <w:p>
            <w:pPr>
              <w:spacing w:after="0" w:before="0" w:lineRule="auto" w:line="276"/>
              <w:jc w:val="left"/>
            </w:pPr>
            <w:r>
              <w:rPr>
                <w:rFonts w:ascii="Times New Roman" w:hAnsi="Times New Roman" w:cs="Times New Roman" w:eastAsia="Times New Roman"/>
                <w:b w:val="false"/>
                <w:sz w:val="26"/>
              </w:rPr>
              <w:t>27-10-2017</w:t>
            </w:r>
          </w:p>
        </w:tc>
        <w:tc>
          <w:p/>
        </w:tc>
      </w:tr>
      <w:tr>
        <w:tc>
          <w:p/>
          <w:p>
            <w:pPr>
              <w:spacing w:after="0" w:before="0" w:lineRule="auto" w:line="276"/>
              <w:jc w:val="left"/>
            </w:pPr>
            <w:r>
              <w:rPr>
                <w:rFonts w:ascii="Times New Roman" w:hAnsi="Times New Roman" w:cs="Times New Roman" w:eastAsia="Times New Roman"/>
                <w:b w:val="false"/>
                <w:sz w:val="26"/>
              </w:rPr>
              <w:t>12/2019/TT-BNV</w:t>
            </w:r>
          </w:p>
        </w:tc>
        <w:tc>
          <w:p/>
          <w:p>
            <w:pPr>
              <w:spacing w:after="0" w:before="0" w:lineRule="auto" w:line="276"/>
              <w:jc w:val="left"/>
            </w:pPr>
            <w:r>
              <w:rPr>
                <w:rFonts w:ascii="Times New Roman" w:hAnsi="Times New Roman" w:cs="Times New Roman" w:eastAsia="Times New Roman"/>
                <w:b w:val="false"/>
                <w:sz w:val="26"/>
              </w:rPr>
              <w:t>Thông tư 12/2019/TT-BNV</w:t>
            </w:r>
          </w:p>
        </w:tc>
        <w:tc>
          <w:p/>
          <w:p>
            <w:pPr>
              <w:spacing w:after="0" w:before="0" w:lineRule="auto" w:line="276"/>
              <w:jc w:val="left"/>
            </w:pPr>
            <w:r>
              <w:rPr>
                <w:rFonts w:ascii="Times New Roman" w:hAnsi="Times New Roman" w:cs="Times New Roman" w:eastAsia="Times New Roman"/>
                <w:b w:val="false"/>
                <w:sz w:val="26"/>
              </w:rPr>
              <w:t>04-11-2019</w:t>
            </w:r>
          </w:p>
        </w:tc>
        <w:tc>
          <w:p/>
        </w:tc>
      </w:tr>
      <w:tr>
        <w:tc>
          <w:p/>
          <w:p>
            <w:pPr>
              <w:spacing w:after="0" w:before="0" w:lineRule="auto" w:line="276"/>
              <w:jc w:val="left"/>
            </w:pPr>
            <w:r>
              <w:rPr>
                <w:rFonts w:ascii="Times New Roman" w:hAnsi="Times New Roman" w:cs="Times New Roman" w:eastAsia="Times New Roman"/>
                <w:b w:val="false"/>
                <w:sz w:val="26"/>
              </w:rPr>
              <w:t>5/2020/TT-BNV</w:t>
            </w:r>
          </w:p>
        </w:tc>
        <w:tc>
          <w:p/>
          <w:p>
            <w:pPr>
              <w:spacing w:after="0" w:before="0" w:lineRule="auto" w:line="276"/>
              <w:jc w:val="left"/>
            </w:pPr>
            <w:r>
              <w:rPr>
                <w:rFonts w:ascii="Times New Roman" w:hAnsi="Times New Roman" w:cs="Times New Roman" w:eastAsia="Times New Roman"/>
                <w:b w:val="false"/>
                <w:sz w:val="26"/>
              </w:rPr>
              <w:t>Thông tư 5/2020/TT-BNV</w:t>
            </w:r>
          </w:p>
        </w:tc>
        <w:tc>
          <w:p/>
          <w:p>
            <w:pPr>
              <w:spacing w:after="0" w:before="0" w:lineRule="auto" w:line="276"/>
              <w:jc w:val="left"/>
            </w:pPr>
            <w:r>
              <w:rPr>
                <w:rFonts w:ascii="Times New Roman" w:hAnsi="Times New Roman" w:cs="Times New Roman" w:eastAsia="Times New Roman"/>
                <w:b w:val="false"/>
                <w:sz w:val="26"/>
              </w:rPr>
              <w:t>09-11-2020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Là những cá nhân, tập thể: Trong hệ thống cơ quan công tác dân tộc; trong các cơ quan Nhà nước có liên quan đến lĩnh vực công tác dân tộc; người Việt nam ở trong và ngoài nước, cá nhân tập thể người ngước ngoài có thành tích, công lao xuất sắc đóng góp cho sự nghiệp công tác dân tộc, phục vụ sự nghiệp phát triển kinh tế - xã hội, an ninh quốc phòng ở vùng dân tộc và miền núi.
- Tại thời điểm xét danh hiệu thi đua, hình thức khen thưởng: Cá nhân (hoặc tập thể có cá nhân) đang trong quá trình bị kiểm tra, thanh tra, tạm giam, tạm giữ hoặc đang xem xét kỷ luật thì chưa được xem xét. Khi có kết luận kiểm tra, thanh tra, xem xét kỷ luật sẽ được xem xét lại danh hiệu thi đua, hình thức khen thưởng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2026-05-19T12:09:29Z</dcterms:created>
  <dc:creator>Apache POI</dc:creator>
</cp:coreProperties>
</file>