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1170/QD-BTP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tư vấn pháp luật cho doanh nghiệp nhỏ và vừa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nhỏ và vừa tiếp cận mạng lưới tư vấn viên pháp luật theo lĩnh vực quản lý của bộ, cơ quan ngang bộ thông qua danh sách tư vấn viên pháp luật được đăng tải trên cổng thông tin của bộ, cơ quan ngang bộ đó.</w:t>
      </w:r>
    </w:p>
    <w:p>
      <w:pPr>
        <w:spacing w:after="0" w:before="0" w:lineRule="auto" w:line="276"/>
        <w:jc w:val="both"/>
      </w:pPr>
      <w:r>
        <w:rPr>
          <w:rFonts w:ascii="Times New Roman" w:hAnsi="Times New Roman" w:cs="Times New Roman" w:eastAsia="Times New Roman"/>
          <w:b w:val="false"/>
          <w:sz w:val="26"/>
        </w:rPr>
        <w:t>
- Doanh nghiệp nhỏ và vừa tiếp cận mạng lưới tư vấn viên pháp luật theo lĩnh vực quản lý của bộ, cơ quan ngang bộ thông qua danh sách tư vấn viên pháp luật được đăng tải trên cổng thông tin của bộ, cơ quan ngang bộ đó.
- Sau khi thỏa thuận dịch vụ tư vấn pháp luật với tư vấn viên pháp luật phù hợp thuộc mạng lưới tư vấn viên pháp luật theo quy định tại khoản 1 Điều 9 Nghị định số 55/2019/NĐ-CP, doanh nghiệp nhỏ và vừa gửi hồ sơ trực tiếp hoặc qua dịch vụ bưu chính hoặc bằng phương thức điện tử đến bộ, cơ quan ngang bộ đề nghị hỗ trợ chi phí tư vấn pháp luật về vụ việc, vướng mắc.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hợp lệ, bộ, cơ quan ngang bộ xem xét thông báo bằng văn bản về việc đồng ý hoặc không đồng ý hỗ trợ chi phí tư vấn pháp luật cho doanh nghiệp nhỏ và vừa theo nguyên tắc quy định tại Điều 4 và các quy định tại Nghị định số 55/2019/NĐ-CP.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xác định doanh nghiệp siêu nhỏ, doanh nghiệp nhỏ, doanh nghiệp vừa theo mẫu được quy định tại Nghị định số 39/2018/NĐ-CP ngày 11 tháng 3 năm 2018 của Chính phủ quy định chi tiết một số điều của Luật Hỗ trợ doanh nghiệp nhỏ và vừa hoặc văn bản quy phạm pháp luật sửa đổi, bổ sung hoặc thay thế Nghị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dịch vụ tư vấn pháp luật giữa tư vấn viên pháp luật và doanh nghiệp nhỏ và vừa, trong đó nêu rõ nội dung tư vấn, phí dịch vụ tư vấn.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bản thông báo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04/2017/QH14 </w:t>
            </w:r>
          </w:p>
        </w:tc>
        <w:tc>
          <w:p/>
          <w:p>
            <w:pPr>
              <w:spacing w:after="0" w:before="0" w:lineRule="auto" w:line="276"/>
              <w:jc w:val="left"/>
            </w:pPr>
            <w:r>
              <w:rPr>
                <w:rFonts w:ascii="Times New Roman" w:hAnsi="Times New Roman" w:cs="Times New Roman" w:eastAsia="Times New Roman"/>
                <w:b w:val="false"/>
                <w:sz w:val="26"/>
              </w:rPr>
              <w:t>Luật 04/2017/QH14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39/2018/NĐ-CP</w:t>
            </w:r>
          </w:p>
        </w:tc>
        <w:tc>
          <w:p/>
          <w:p>
            <w:pPr>
              <w:spacing w:after="0" w:before="0" w:lineRule="auto" w:line="276"/>
              <w:jc w:val="left"/>
            </w:pPr>
            <w:r>
              <w:rPr>
                <w:rFonts w:ascii="Times New Roman" w:hAnsi="Times New Roman" w:cs="Times New Roman" w:eastAsia="Times New Roman"/>
                <w:b w:val="false"/>
                <w:sz w:val="26"/>
              </w:rPr>
              <w:t>Nghị định 39/2018/NĐ-CP</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55/2019/NĐ-CP </w:t>
            </w:r>
          </w:p>
        </w:tc>
        <w:tc>
          <w:p/>
          <w:p>
            <w:pPr>
              <w:spacing w:after="0" w:before="0" w:lineRule="auto" w:line="276"/>
              <w:jc w:val="left"/>
            </w:pPr>
            <w:r>
              <w:rPr>
                <w:rFonts w:ascii="Times New Roman" w:hAnsi="Times New Roman" w:cs="Times New Roman" w:eastAsia="Times New Roman"/>
                <w:b w:val="false"/>
                <w:sz w:val="26"/>
              </w:rPr>
              <w:t>Nghị định 55/2019/NĐ-CP</w:t>
            </w:r>
          </w:p>
        </w:tc>
        <w:tc>
          <w:p/>
          <w:p>
            <w:pPr>
              <w:spacing w:after="0" w:before="0" w:lineRule="auto" w:line="276"/>
              <w:jc w:val="left"/>
            </w:pPr>
            <w:r>
              <w:rPr>
                <w:rFonts w:ascii="Times New Roman" w:hAnsi="Times New Roman" w:cs="Times New Roman" w:eastAsia="Times New Roman"/>
                <w:b w:val="false"/>
                <w:sz w:val="26"/>
              </w:rPr>
              <w:t>24-06-2019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2026-05-27T18:42:50Z</dcterms:created>
  <dc:creator>Apache POI</dc:creator>
</cp:coreProperties>
</file>