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3225/QĐ-BCT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dịch vụ nổ mìn tại địa phương có phạm vi hoạt động giới hạn trong địa bàn đất liền của 01 (một) tỉnh hoặc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hồ sơ</w:t>
      </w:r>
    </w:p>
    <w:p>
      <w:pPr>
        <w:spacing w:after="0" w:before="0" w:lineRule="auto" w:line="276"/>
        <w:jc w:val="both"/>
      </w:pPr>
      <w:r>
        <w:rPr>
          <w:rFonts w:ascii="Times New Roman" w:hAnsi="Times New Roman" w:cs="Times New Roman" w:eastAsia="Times New Roman"/>
          <w:b w:val="false"/>
          <w:sz w:val="26"/>
        </w:rPr>
        <w:t>Khi có thay đổi phạm vi hoạt động dịch vụ nổ mìn, doanh nghiệp đề nghị cấp điều chỉnh giấy phép dịch vụ nổ mìn.</w:t>
      </w:r>
    </w:p>
    <w:p>
      <w:pPr>
        <w:spacing w:after="0" w:before="0" w:lineRule="auto" w:line="276"/>
        <w:jc w:val="both"/>
      </w:pPr>
      <w:r>
        <w:rPr>
          <w:rFonts w:ascii="Times New Roman" w:hAnsi="Times New Roman" w:cs="Times New Roman" w:eastAsia="Times New Roman"/>
          <w:b w:val="false"/>
          <w:sz w:val="26"/>
        </w:rPr>
        <w:t>Nộp hồ sơ trên Cổng dịch vụ công quốc gia, Hệ thống thông tin giải quyết thủ tục hành chính của Bộ Công Thương hoặc gửi qua đường bưu chính về cơ quan có thẩm quyền do Bộ trưởng Bộ Công Thương quy định; trường hợp trực tiếp nộp hồ sơ thì văn bản đề nghị bổ sung họ tên, số định danh cá nhân hoặc số hộ chiếu của người đến liên hệ.</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cơ quan có thẩm quyền kiểm tra hồ sơ, điều kiện thực tế, cấp giấy phép dịch vụ nổ mìn; trường hợp không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Cục Kỹ thuật an toàn và Môi trường công nghiệp có thẩm quyền cấp điều chỉnh giấy phép dịch vụ nổ mìn tại địa phương có phạm vi hoạt động giới hạn trong địa bàn đất liền của 01 (một) tỉnh hoặc thành phố trực thuộc Trung 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148/2016/TT-BTC được sửa đổi, bổ sung bởi Thông tư số 53/2019/TT-BTC.)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kiểm tra hồ sơ, điều kiện thực tế, cấp giấy phép dịch vụ nổ mìn; trường hợp không cấp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148/2016/TT-BTC được sửa đổi, bổ sung bởi Thông tư số 53/2019/TT-BTC.)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kiểm tra hồ sơ, điều kiện thực tế, cấp giấy phép dịch vụ nổ mìn; trường hợp không cấp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Thông tư số 148/2016/TT-BTC được sửa đổi, bổ sung bởi Thông tư số 53/2019/TT-BTC.)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cơ quan có thẩm quyền kiểm tra hồ sơ, điều kiện thực tế, cấp giấy phép dịch vụ nổ mìn; trường hợp không cấp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quy định tại Mẫu số 05 Phụ lục III ban hành kèm theo Thông tư số 23/2024/TT-BCT.</w:t>
            </w:r>
          </w:p>
        </w:tc>
        <w:tc>
          <w:p/>
          <w:p>
            <w:pPr>
              <w:spacing w:after="0" w:before="0" w:lineRule="auto" w:line="276"/>
              <w:jc w:val="left"/>
            </w:pPr>
            <w:r>
              <w:rPr>
                <w:rFonts w:ascii="Times New Roman" w:hAnsi="Times New Roman" w:cs="Times New Roman" w:eastAsia="Times New Roman"/>
                <w:b w:val="false"/>
                <w:sz w:val="26"/>
              </w:rPr>
              <w:t>Mau05.docx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hoạt động dịch vụ nổ mìn trong thời hạn hiệu lực của giấy phép đã cấp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Kỹ thuật an toàn và Môi trường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dịch vụ nổ mìn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thay đổi phạm vi hoạt động dịch vụ nổ mìn.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2026-05-27T19:32:28Z</dcterms:created>
  <dc:creator>Apache POI</dc:creator>
</cp:coreProperties>
</file>