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1353/QĐ-BXD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bảo hiểm hoặc bảo đảm tài chính về trách nhiệm dân sự đối với tổn thất ô nhiễm dầu nhiên liệu 2001 (BCC)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Chủ tàu gửi hồ sơ đề nghị cấp Giấy chứng nhận bảo hiểm hoặc bảo đảm tài chính về trách nhiệm dân sự đối với tổn thất ô nhiễm dầu nhiên liệu (sau đây gọi là Giấy chứng nhận Bunker 2001) đến Cơ quan đăng ký tàu biển: Cục Hàng hải và Đường thủy Việt Nam hoặc Chi cục Hàng hải và Đường thủy, Cảng vụ hàng hải được Cục Hàng hải và Đường thủy Việt Nam ủy quyền thực hiện công tác đăng ký tàu biển.</w:t>
      </w:r>
    </w:p>
    <w:p>
      <w:pPr>
        <w:spacing w:after="0" w:before="0" w:lineRule="auto" w:line="276"/>
        <w:jc w:val="both"/>
      </w:pPr>
      <w:r>
        <w:rPr>
          <w:rFonts w:ascii="Times New Roman" w:hAnsi="Times New Roman" w:cs="Times New Roman" w:eastAsia="Times New Roman"/>
          <w:b w:val="false"/>
          <w:sz w:val="26"/>
        </w:rPr>
        <w:t>- Đối tượng được cấp Giấy chứng nhận:
+ Tàu biển Việt Nam có tổng dung tích trên 1000 GT hoạt động tuyến quốc tế;
+ Tàu biển Việt Nam có tổng dung tích trên 1000 GT hoạt động tuyến nội địa, tàu biển nước ngoài có tổng dung tích trên 1000 GT sẽ được cấp Giấy chứng nhận Bunker 2001 nếu chủ tàu có yêu cầu.</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Cơ quan đăng ký tàu biển tiếp nhận hồ sơ và thực hiện kiểm tra hồ sơ tuân thủ theo các quy định Công ước Bunker 2001.</w:t>
      </w:r>
    </w:p>
    <w:p>
      <w:pPr>
        <w:spacing w:after="0" w:before="0" w:lineRule="auto" w:line="276"/>
        <w:jc w:val="both"/>
      </w:pPr>
      <w:r>
        <w:rPr>
          <w:rFonts w:ascii="Times New Roman" w:hAnsi="Times New Roman" w:cs="Times New Roman" w:eastAsia="Times New Roman"/>
          <w:b w:val="false"/>
          <w:sz w:val="26"/>
        </w:rPr>
        <w:t>- Trường hợp hồ sơ không hợp lệ thì chậm nhất 02 ngày làm việc kể từ ngày nhận hồ sơ, Cơ quan đăng ký tàu biển có văn bản yêu cầu hoàn thiện hồ sơ theo quy định.</w:t>
      </w:r>
    </w:p>
    <w:p>
      <w:pPr>
        <w:spacing w:after="0" w:before="0" w:lineRule="auto" w:line="276"/>
        <w:jc w:val="both"/>
      </w:pPr>
      <w:r>
        <w:rPr>
          <w:rFonts w:ascii="Times New Roman" w:hAnsi="Times New Roman" w:cs="Times New Roman" w:eastAsia="Times New Roman"/>
          <w:b w:val="false"/>
          <w:sz w:val="26"/>
        </w:rPr>
        <w:t>- Trường hợp hồ sơ hợp lệ thì chậm nhất 02 ngày làm việc kể từ ngày nhận đủ hồ sơ theo quy định, Cơ quan đăng ký tàu biển cấp Giấy chứng nhận Bunker 2001 và gửi trực tiếp hoặc qua hệ thống bưu chính hoặc qua hệ thống dịch vụ công trực tuyến cho chủ tàu; trường hợp không chấp thuận, Cơ quan đăng ký tàu biển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đồng/Giấy chứng nhận.)</w:t>
            </w:r>
          </w:p>
        </w:tc>
        <w:tc>
          <w:p/>
          <w:p>
            <w:pPr>
              <w:spacing w:after="0" w:before="0" w:lineRule="auto" w:line="276"/>
              <w:jc w:val="left"/>
            </w:pPr>
            <w:r>
              <w:rPr>
                <w:rFonts w:ascii="Times New Roman" w:hAnsi="Times New Roman" w:cs="Times New Roman" w:eastAsia="Times New Roman"/>
                <w:b w:val="false"/>
                <w:sz w:val="26"/>
              </w:rPr>
              <w:t>Chậm nhất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đồng/Giấy chứng nhận.)</w:t>
            </w:r>
          </w:p>
        </w:tc>
        <w:tc>
          <w:p/>
          <w:p>
            <w:pPr>
              <w:spacing w:after="0" w:before="0" w:lineRule="auto" w:line="276"/>
              <w:jc w:val="left"/>
            </w:pPr>
            <w:r>
              <w:rPr>
                <w:rFonts w:ascii="Times New Roman" w:hAnsi="Times New Roman" w:cs="Times New Roman" w:eastAsia="Times New Roman"/>
                <w:b w:val="false"/>
                <w:sz w:val="26"/>
              </w:rPr>
              <w:t>Chậm nhất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đồng/Giấy chứng nhận.)</w:t>
            </w:r>
          </w:p>
        </w:tc>
        <w:tc>
          <w:p/>
          <w:p>
            <w:pPr>
              <w:spacing w:after="0" w:before="0" w:lineRule="auto" w:line="276"/>
              <w:jc w:val="left"/>
            </w:pPr>
            <w:r>
              <w:rPr>
                <w:rFonts w:ascii="Times New Roman" w:hAnsi="Times New Roman" w:cs="Times New Roman" w:eastAsia="Times New Roman"/>
                <w:b w:val="false"/>
                <w:sz w:val="26"/>
              </w:rPr>
              <w:t>Chậm nhất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của chủ tàu theo mẫu</w:t>
            </w:r>
          </w:p>
        </w:tc>
        <w:tc>
          <w:p/>
          <w:p>
            <w:pPr>
              <w:spacing w:after="0" w:before="0" w:lineRule="auto" w:line="276"/>
              <w:jc w:val="left"/>
            </w:pPr>
            <w:r>
              <w:rPr>
                <w:rFonts w:ascii="Times New Roman" w:hAnsi="Times New Roman" w:cs="Times New Roman" w:eastAsia="Times New Roman"/>
                <w:b w:val="false"/>
                <w:sz w:val="26"/>
              </w:rPr>
              <w:t>maudondenghi_BCC.doc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điện tử được cấp từ sổ gốc Giấy chứng nhận bảo hiểm đáp ứng yêu cầu tại Điều 7 của Công ước Bunker 2001; Trường hợp việc bảo hiểm có tái bảo hiểm thì chủ tàu phải nộp cả bản chính Giấy chứng nhận của tổ chức nhận tái bảo hiểm liên quan; Trường hợp Giấy chứng nhận của tổ chức nhận tái bảo hiểm, Giấy chứng nhận bảo hiểm đáp ứng yêu cầu tại Điều 7 của Công ước Bunker 2001 của chủ tàu được cấp dưới dạng dữ liệu điện tử, chủ tàu phải cung cấp địa chỉ chính thức, hợp pháp trang thông tin điện tử của tổ chức đã cấp để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sao điện tử Giấy chứng nhận đăng ký tàu biển đối với tàu đăng ký mang cờ quốc tịch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Cảng vụ hàng hải, Chi cục Hàng hải và Đường thuỷ phía Bắc, Chi cục Hàng hải và Đường thuỷ phía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Cảng vụ hàng hải, Chi cục Hàng hải và Đường thuỷ phía Bắc, Chi cục Hàng hải và Đường thuỷ phía Nam</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Bunker 2001.</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hoạt động chuyên ngành hàng hải</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40/2005/QH11</w:t>
            </w:r>
          </w:p>
        </w:tc>
        <w:tc>
          <w:p/>
          <w:p>
            <w:pPr>
              <w:spacing w:after="0" w:before="0" w:lineRule="auto" w:line="276"/>
              <w:jc w:val="left"/>
            </w:pPr>
            <w:r>
              <w:rPr>
                <w:rFonts w:ascii="Times New Roman" w:hAnsi="Times New Roman" w:cs="Times New Roman" w:eastAsia="Times New Roman"/>
                <w:b w:val="false"/>
                <w:sz w:val="26"/>
              </w:rPr>
              <w:t>Hàng hải Việt Nam</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46/2011/TT-BGTVT</w:t>
            </w:r>
          </w:p>
        </w:tc>
        <w:tc>
          <w:p/>
          <w:p>
            <w:pPr>
              <w:spacing w:after="0" w:before="0" w:lineRule="auto" w:line="276"/>
              <w:jc w:val="left"/>
            </w:pPr>
            <w:r>
              <w:rPr>
                <w:rFonts w:ascii="Times New Roman" w:hAnsi="Times New Roman" w:cs="Times New Roman" w:eastAsia="Times New Roman"/>
                <w:b w:val="false"/>
                <w:sz w:val="26"/>
              </w:rPr>
              <w:t>Quy định về cấp, thu hồi Giấy chứng nhận bảo hiểm hoặc bảo đảm tài chính theo Công ước quốc tế về trách nhiệm dân sự đối với tổn thất ô nhiễm dầu nhiên liệu năm 2001</w:t>
            </w:r>
          </w:p>
        </w:tc>
        <w:tc>
          <w:p/>
          <w:p>
            <w:pPr>
              <w:spacing w:after="0" w:before="0" w:lineRule="auto" w:line="276"/>
              <w:jc w:val="left"/>
            </w:pPr>
            <w:r>
              <w:rPr>
                <w:rFonts w:ascii="Times New Roman" w:hAnsi="Times New Roman" w:cs="Times New Roman" w:eastAsia="Times New Roman"/>
                <w:b w:val="false"/>
                <w:sz w:val="26"/>
              </w:rPr>
              <w:t>30-06-2011</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22/2025/TT-BXD</w:t>
            </w:r>
          </w:p>
        </w:tc>
        <w:tc>
          <w:p/>
          <w:p>
            <w:pPr>
              <w:spacing w:after="0" w:before="0" w:lineRule="auto" w:line="276"/>
              <w:jc w:val="left"/>
            </w:pPr>
            <w:r>
              <w:rPr>
                <w:rFonts w:ascii="Times New Roman" w:hAnsi="Times New Roman" w:cs="Times New Roman" w:eastAsia="Times New Roman"/>
                <w:b w:val="false"/>
                <w:sz w:val="26"/>
              </w:rPr>
              <w:t>quy định về cấp, thu hồi Giấy chứng nhận bảo hiểm hoặc bảo đảm tài chính về trách nhiệm dân sự theo Công ước quốc tế về trách nhiệm dân sự đối với tổn thất ô nhiễm dầu năm 1992 và Công ước quốc tế về trách nhiệm dân sự đối với tổn thất ô nhiễm dầu nhiên liệu năm 2001.</w:t>
            </w:r>
          </w:p>
        </w:tc>
        <w:tc>
          <w:p/>
          <w:p>
            <w:pPr>
              <w:spacing w:after="0" w:before="0" w:lineRule="auto" w:line="276"/>
              <w:jc w:val="left"/>
            </w:pPr>
            <w:r>
              <w:rPr>
                <w:rFonts w:ascii="Times New Roman" w:hAnsi="Times New Roman" w:cs="Times New Roman" w:eastAsia="Times New Roman"/>
                <w:b w:val="false"/>
                <w:sz w:val="26"/>
              </w:rPr>
              <w:t>31-07-2025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Tàu biển Việt Nam có tổng dung tích trên 1000 GT hoạt động tuyến quốc tế; tàu biển Việt Nam có tổng dung tích trên 1000 GT hoạt động tuyến nội địa, tàu biển nước ngoài có tổng dung tích trên 1000 nếu chủ tàu có yêu cầu có Giấy chứng nhận bảo hiểm đáp ứng yêu cầu tại Điều 7 của Công ước Bunker 2001.</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2026-05-23T16:28:52Z</dcterms:created>
  <dc:creator>Apache POI</dc:creator>
</cp:coreProperties>
</file>