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sửa đổi, bổ sung những nội dung ghi trong giấy phép xuất bản thêm ấn phẩm báo chí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Cơ quan báo chí thay đổi nội dung ghi trong giấy phép xuất bản thêm ấn phẩm báo chí theo quy định tại khoản 2 Điều 20 Luật báo chí phải gửi hồ sơ đề nghị Bộ Thông tin và Truyền thông sửa đổi, bổ sung giấy phép.</w:t>
      </w:r>
    </w:p>
    <w:p>
      <w:pPr>
        <w:spacing w:after="0" w:before="0" w:lineRule="auto" w:line="276"/>
        <w:jc w:val="both"/>
      </w:pPr>
      <w:r>
        <w:rPr>
          <w:rFonts w:ascii="Times New Roman" w:hAnsi="Times New Roman" w:cs="Times New Roman" w:eastAsia="Times New Roman"/>
          <w:b w:val="false"/>
          <w:sz w:val="26"/>
        </w:rPr>
        <w:t>Trong thời hạn 30 ngày kể từ ngày nhận đủ hồ sơ hợp lệ, Bộ Thông tin và Truyền thông có trách nhiệm xem xét giải quyết việc sửa đổi, bổ sung giấy phép; trường hợp từ chối cấp, Bộ Thông tin và Truyền thông phải có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30 ngày kể từ ngày nhận đầy đủ hồ sơ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30 ngày kể từ ngày nhận đầy đủ hồ sơ theo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cơ quan chủ quản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việc thực hiện tôn chỉ, mục đích theo giấy phép (đối với trường hợp thay đổi tôn chỉ, mục đích);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trình bày tên gọi của cơ quan báo chí có xác nhận của cơ quan chủ quản báo chí (đối với trường hợp thay đổi tên gọi cơ quan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  Số 18 Nguyễn Du,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sửa đổi, bổ sung giấy phép xuất bản thêm ấn phẩm báo chí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07/2023/TT-BTTTT</w:t>
            </w:r>
          </w:p>
        </w:tc>
        <w:tc>
          <w:p/>
          <w:p>
            <w:pPr>
              <w:spacing w:after="0" w:before="0" w:lineRule="auto" w:line="276"/>
              <w:jc w:val="left"/>
            </w:pPr>
            <w:r>
              <w:rPr>
                <w:rFonts w:ascii="Times New Roman" w:hAnsi="Times New Roman" w:cs="Times New Roman" w:eastAsia="Times New Roman"/>
                <w:b w:val="false"/>
                <w:sz w:val="26"/>
              </w:rPr>
              <w:t>Thông tư số 07/2023/TT-BTTTT Sửa đổi, bổ sung Thông tư số 08/2020/TT-BTTTT ngày 13/4/2020 của Bộ trưởng Bộ Thông tin và Truyền thông Ban hành Danh mục và Quy trình kiểm định thiết bị viễn thông, đài vô tuyến điện bắt buộc kiểm định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103/2016/QH13	</w:t>
            </w:r>
          </w:p>
        </w:tc>
        <w:tc>
          <w:p/>
          <w:p>
            <w:pPr>
              <w:spacing w:after="0" w:before="0" w:lineRule="auto" w:line="276"/>
              <w:jc w:val="left"/>
            </w:pPr>
            <w:r>
              <w:rPr>
                <w:rFonts w:ascii="Times New Roman" w:hAnsi="Times New Roman" w:cs="Times New Roman" w:eastAsia="Times New Roman"/>
                <w:b w:val="false"/>
                <w:sz w:val="26"/>
              </w:rPr>
              <w:t>Luật 103/2016/QH13</w:t>
            </w:r>
          </w:p>
        </w:tc>
        <w:tc>
          <w:p/>
          <w:p>
            <w:pPr>
              <w:spacing w:after="0" w:before="0" w:lineRule="auto" w:line="276"/>
              <w:jc w:val="left"/>
            </w:pPr>
            <w:r>
              <w:rPr>
                <w:rFonts w:ascii="Times New Roman" w:hAnsi="Times New Roman" w:cs="Times New Roman" w:eastAsia="Times New Roman"/>
                <w:b w:val="false"/>
                <w:sz w:val="26"/>
              </w:rPr>
              <w:t>05-04-2016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2026-05-21T16:57:27Z</dcterms:created>
  <dc:creator>Apache POI</dc:creator>
</cp:coreProperties>
</file>