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1318</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chủ trì, thực hiện dự án hỗ trợ hoạt động ươm tạo công nghệ, ươm tạo doanh nghiệp KH&amp;CN thuộc Chương trình hỗ trợ phát triển doanh nghiệp KH&amp;CN và tổ chức KH&amp;CN công lập thực hiện cơ chế tự chủ, tự chịu trách nhiệm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Trên cơ sở thông báo của Bộ Khoa học và Công nghệ về các dự án thuộc Chương trình hỗ trợ phát triển doanh nghiệp KH&amp;CN và tổ chức KH&amp;CN công lập thực hiện cơ chế tự chủ, tự chịu trách nhiệm, tổ chức, cá nhân có điều kiện và năng lực thực hiện dự án xây dựng hồ sơ dự án gửi về cơ quan có thẩm quyền như sau:
a) Đối với dự án do tổ chức, cá nhân thuộc bộ, ngành chủ trì thực hiện, hồ sơ dự án gửi về cơ quan chủ quản thuộc bộ, ngành của tổ chức, cá nhân đó (qua các đơn vị đầu mối quản lý về khoa học và công nghệ của các bộ, ngành);
b) Đối với các dự án do tổ chức, cá nhân triển khai thực hiện tại địa phương, hồ sơ dự án được gửi đến Ủy ban nhân dân tỉnh, thành phố trực thuộc Trung ương (qua Sở Khoa học và Công nghệ);
c) Đối với các dự án do tổ chức, cá nhân không thuộc đối tượng quy định tại điểm a, điểm b nêu trên, hồ sơ dự án được gửi trực tiếp về Bộ Khoa học và Công nghệ.</w:t>
      </w:r>
    </w:p>
    <w:p>
      <w:pPr>
        <w:spacing w:after="0" w:before="0" w:lineRule="auto" w:line="276"/>
        <w:jc w:val="both"/>
      </w:pPr>
      <w:r>
        <w:rPr>
          <w:rFonts w:ascii="Times New Roman" w:hAnsi="Times New Roman" w:cs="Times New Roman" w:eastAsia="Times New Roman"/>
          <w:b w:val="false"/>
          <w:sz w:val="26"/>
        </w:rPr>
        <w:t>Bước 2. Các bộ, ngành và Ủy ban nhân dân các tỉnh, thành phố trực thuộc Trung ương căn cứ vào mục tiêu, nội dung của Chương trình và điều kiện, nhu cầu thực tế của bộ ngành, địa phương thông báo, hướng dẫn các tổ chức, cá nhân tham gia Chương trình; tổng hợp các dự án vào kế hoạch khoa học và công nghệ hằng năm của bộ, ngành, địa phương; lập danh mục các dự án và gửi kèm hồ sơ của các dự án tham gia Chương trình về Bộ Khoa học và Công nghệ (qua Văn phòng Chương trình) để xem xét, quyết định.
Đối với trường hợp đột xuất và cấp thiết ngoài kế hoạch, các bộ, ngành, Ủy ban nhân dân các tỉnh, thành phố trực thuộc Trung ương gửi danh mục và hồ sơ dự án đến Bộ Khoa học và Công nghệ để được xem xét, hỗ trợ từ Quỹ Phát triển khoa học và công nghệ quốc gia, Quỹ đổi mới công nghệ quốc gia nếu nội dung dự án phù hợp với quy định về việc hỗ trợ của các Quỹ này.</w:t>
      </w:r>
    </w:p>
    <w:p>
      <w:pPr>
        <w:spacing w:after="0" w:before="0" w:lineRule="auto" w:line="276"/>
        <w:jc w:val="both"/>
      </w:pPr>
      <w:r>
        <w:rPr>
          <w:rFonts w:ascii="Times New Roman" w:hAnsi="Times New Roman" w:cs="Times New Roman" w:eastAsia="Times New Roman"/>
          <w:b w:val="false"/>
          <w:sz w:val="26"/>
        </w:rPr>
        <w:t>Bước 3. Hằng năm, căn cứ vào mục tiêu, nội dung của Chương trình, trên cơ sở đề xuất của các bộ, ngành, địa phương và thuyết minh tại hồ sơ dự án:
a) Bộ Khoa học và Công nghệ tổng hợp danh mục các dự án, lập Hội đồng thẩm định, đánh giá hồ sơ dự án;
b) Bộ Khoa học và công nghệ căn cứ vào quy mô, nội dung, phạm vi ảnh hưởng của dự án quyết định dự án do Bộ Khoa học và Công nghệ trực tiếp quản lý hay ủy quyền bộ, ngành, địa phương quản lý theo phân cấp quản lý dự án thuộc Chương trình được quy định tại Điều 4 Thông tư này:
- Đối với các dự án do Bộ Khoa học và Công nghệ trực tiếp quản lý, Bộ Khoa học và Công nghệ phê duyệt kinh phí thực hiện dự án để bố trí các dự án vào kế hoạch năm; trực tiếp quản lý, theo dõi, kiểm tra việc thực hiện dự án;
- Đối với các dự án do Bộ Khoa học và Công nghệ ủy quyền bộ, ngành, địa phương quản lý, Bộ Khoa học và Công nghệ phê duyệt kinh phí thực hiện từ nguồn kinh phí thực hiện Chương trình và giao cho bộ, ngành, địa phương trực tiếp quản lý, theo dõi, kiểm tra việc thực hiện dự án.</w:t>
      </w:r>
    </w:p>
    <w:p>
      <w:pPr>
        <w:spacing w:after="0" w:before="0" w:lineRule="auto" w:line="276"/>
        <w:jc w:val="both"/>
      </w:pPr>
      <w:r>
        <w:rPr>
          <w:rFonts w:ascii="Times New Roman" w:hAnsi="Times New Roman" w:cs="Times New Roman" w:eastAsia="Times New Roman"/>
          <w:b w:val="false"/>
          <w:sz w:val="26"/>
        </w:rPr>
        <w:t>Bước 4: Căn cứ vào việc đánh giá hồ sơ dự án, Bộ Khoa học và Công nghệ xem xét, quyết định giao cho tổ chức, cá nhân chủ trì thực hiện dự án và kinh phí thực hiện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dự án được nộp trực tiếp hoặc qua đường bưu điện đến cơ quan có thẩm quyền theo quy định tại khoản 1 Điều 12 Thông tư số 19/2013/TT-BKHCN.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Chưa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dự án được nộp trực tiếp hoặc qua đường bưu điện đến cơ quan có thẩm quyền theo quy định tại khoản 1 Điều 12 Thông tư số 19/2013/TT-BKHCN.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thực hiện dự án;</w:t>
            </w:r>
          </w:p>
        </w:tc>
        <w:tc>
          <w:p/>
          <w:p>
            <w:pPr>
              <w:spacing w:after="0" w:before="0" w:lineRule="auto" w:line="276"/>
              <w:jc w:val="left"/>
            </w:pPr>
            <w:r>
              <w:rPr>
                <w:rFonts w:ascii="Times New Roman" w:hAnsi="Times New Roman" w:cs="Times New Roman" w:eastAsia="Times New Roman"/>
                <w:b w:val="false"/>
                <w:sz w:val="26"/>
              </w:rPr>
              <w:t>Phiếu đăng ký chủ trì thực hiện dự án.doc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dự án;</w:t>
            </w:r>
          </w:p>
        </w:tc>
        <w:tc>
          <w:p/>
          <w:p>
            <w:pPr>
              <w:spacing w:after="0" w:before="0" w:lineRule="auto" w:line="276"/>
              <w:jc w:val="left"/>
            </w:pPr>
            <w:r>
              <w:rPr>
                <w:rFonts w:ascii="Times New Roman" w:hAnsi="Times New Roman" w:cs="Times New Roman" w:eastAsia="Times New Roman"/>
                <w:b w:val="false"/>
                <w:sz w:val="26"/>
              </w:rPr>
              <w:t>Thuyết minh dự án.doc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cán bộ, Văn phòng các Chương trình khoa học và công nghệ quốc gia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tổ chức, cá nhân chủ trì thực hiện dự án và kinh phí thực hiện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17/2014/TT-BKHCN</w:t>
            </w:r>
          </w:p>
        </w:tc>
        <w:tc>
          <w:p/>
          <w:p>
            <w:pPr>
              <w:spacing w:after="0" w:before="0" w:lineRule="auto" w:line="276"/>
              <w:jc w:val="left"/>
            </w:pPr>
            <w:r>
              <w:rPr>
                <w:rFonts w:ascii="Times New Roman" w:hAnsi="Times New Roman" w:cs="Times New Roman" w:eastAsia="Times New Roman"/>
                <w:b w:val="false"/>
                <w:sz w:val="26"/>
              </w:rPr>
              <w:t>Thông tư 17/2014/TT-BKHCN</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19/2013/TT-BKHCN</w:t>
            </w:r>
          </w:p>
        </w:tc>
        <w:tc>
          <w:p/>
          <w:p>
            <w:pPr>
              <w:spacing w:after="0" w:before="0" w:lineRule="auto" w:line="276"/>
              <w:jc w:val="left"/>
            </w:pPr>
            <w:r>
              <w:rPr>
                <w:rFonts w:ascii="Times New Roman" w:hAnsi="Times New Roman" w:cs="Times New Roman" w:eastAsia="Times New Roman"/>
                <w:b w:val="false"/>
                <w:sz w:val="26"/>
              </w:rPr>
              <w:t>Thông tư 19/2013/TT-BKHCN</w:t>
            </w:r>
          </w:p>
        </w:tc>
        <w:tc>
          <w:p/>
          <w:p>
            <w:pPr>
              <w:spacing w:after="0" w:before="0" w:lineRule="auto" w:line="276"/>
              <w:jc w:val="left"/>
            </w:pPr>
            <w:r>
              <w:rPr>
                <w:rFonts w:ascii="Times New Roman" w:hAnsi="Times New Roman" w:cs="Times New Roman" w:eastAsia="Times New Roman"/>
                <w:b w:val="false"/>
                <w:sz w:val="26"/>
              </w:rPr>
              <w:t>15-08-2013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592/QĐ-TTg</w:t>
            </w:r>
          </w:p>
        </w:tc>
        <w:tc>
          <w:p/>
          <w:p>
            <w:pPr>
              <w:spacing w:after="0" w:before="0" w:lineRule="auto" w:line="276"/>
              <w:jc w:val="left"/>
            </w:pPr>
            <w:r>
              <w:rPr>
                <w:rFonts w:ascii="Times New Roman" w:hAnsi="Times New Roman" w:cs="Times New Roman" w:eastAsia="Times New Roman"/>
                <w:b w:val="false"/>
                <w:sz w:val="26"/>
              </w:rPr>
              <w:t>Quyết định 592/QĐ-TTg</w:t>
            </w:r>
          </w:p>
        </w:tc>
        <w:tc>
          <w:p/>
          <w:p>
            <w:pPr>
              <w:spacing w:after="0" w:before="0" w:lineRule="auto" w:line="276"/>
              <w:jc w:val="left"/>
            </w:pPr>
            <w:r>
              <w:rPr>
                <w:rFonts w:ascii="Times New Roman" w:hAnsi="Times New Roman" w:cs="Times New Roman" w:eastAsia="Times New Roman"/>
                <w:b w:val="false"/>
                <w:sz w:val="26"/>
              </w:rPr>
              <w:t>22-05-2012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dự án hỗ trợ phát triển ý tưởng hình thành vật mẫu:
- Đề xuất ý tưởng, giải pháp kỹ thuật để làm ra vật mẫu (ý tưởng được thuyết minh rõ ràng, có cơ sở khoa học và thực tiễn, có giải pháp công nghệ phù hợp để tạo ra vật mẫu);
- Cam kết hoàn thiện công nghệ từ vật mẫu đã tạo ra.
* Đối với dự án nghiên cứu hoàn thiện công nghệ, sản phẩm mới:
- Nghiên cứu hoàn thiện công nghệ trên cơ sở các sáng chế, giải pháp hữu ích, giải pháp kỹ thuật, kết quả khoa học và công nghệ, hoặc hoạt động nghiên cứu giải mã công nghệ;
- Hoàn thiện công nghệ để tạo ra sản phẩm mới làm cơ sở để thành lập doanh nghiệp khoa học và công nghệ.
* Đối với dự án ươm tạo doanh nghiệp khoa học và công nghệ:
- Dự án được xây dựng dựa trên công nghệ do tổ chức, cá nhân sở hữu hoặc sử dụng hợp pháp có khả năng ứng dụng và sản xuất kinh doanh để hình thành doanh nghiệp khoa học và công nghệ;
- Có hồ sơ thành lập doanh nghiệp khoa học và công nghệ. Trong hồ sơ phải trình bày rõ về cơ cấu tổ chức, tài chính, nhân lực, phương án sản xuất kinh doanh của doanh nghiệp sẽ được thành lập (những nội dung liên quan đến kết quả khoa học và công nghệ là cơ sở để chứng nhận doanh nghiệp khoa học và công nghệ).
* Tiêu chí, điều kiện khác:
- Tổ chức, cá nhân phải chứng minh được nguồn lực và năng lực tổ chức thực hiện dự án;
- Tổ chức, cá nhân chủ trì dự án đáp ứng các tiêu chí quy định tại điểm a, b, khoản 1 Điều này phải có cam kết bằng văn bản về việc thành lập doanh nghiệp khoa học và công nghệ từ công nghệ, sản phẩm mới là kết quả của dự án hoặc chuyển giao công nghệ đó cho tổ chức, cá nhân khác để thành lập doanh nghiệp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đăng ký chủ trì, thực hiện dự án hỗ trợ hoạt động ươm tạo công nghệ, ươm tạo doanh nghiệp KH&amp;CN thuộc Chương trình hỗ trợ phát triển doanh nghiệp KH&amp;CN và tổ chức KH&amp;CN công lập thực hiện cơ chế tự chủ, tự chịu trách nhiệm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2026-05-26T18:45:12Z</dcterms:created>
  <dc:creator>Apache POI</dc:creator>
</cp:coreProperties>
</file>