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nhận hợp quy, cấp lại giấy chứng nhận hợp quy áp dụng đối với sản phẩm sản xuất trong nước của các đơn vị đã có chứng chỉ chứng nhận hệ thống quản lý chất lượng sản phẩm và sản phẩm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tổ chức, cá nhân thực hiện lấy mẫu sản phẩm theo nguyên tắc ngẫu nhiên. Số lượng mẫu phải đủ theo yêu cầu của phép đo quy định tại quy chuẩn kỹ thuật tương ứng.</w:t>
      </w:r>
    </w:p>
    <w:p>
      <w:pPr>
        <w:spacing w:after="0" w:before="0" w:lineRule="auto" w:line="276"/>
        <w:jc w:val="both"/>
      </w:pPr>
      <w:r>
        <w:rPr>
          <w:rFonts w:ascii="Times New Roman" w:hAnsi="Times New Roman" w:cs="Times New Roman" w:eastAsia="Times New Roman"/>
          <w:b w:val="false"/>
          <w:sz w:val="26"/>
        </w:rPr>
        <w:t>- Các tổ chức, cá nhân lập hồ sơ đề nghị chứng nhận hợp quy theo quy định tại khoản 1 Điều 14 của Thông tư 30/2011/TT-BTTTT ngày 31/10/2011 sửa đổi, bổ sung tại Thông tư số 15/2018/TT-BTTTT và gửi hồ sơ đến Tổ chức chứng nhận hợp quy.</w:t>
      </w:r>
    </w:p>
    <w:p>
      <w:pPr>
        <w:spacing w:after="0" w:before="0" w:lineRule="auto" w:line="276"/>
        <w:jc w:val="both"/>
      </w:pPr>
      <w:r>
        <w:rPr>
          <w:rFonts w:ascii="Times New Roman" w:hAnsi="Times New Roman" w:cs="Times New Roman" w:eastAsia="Times New Roman"/>
          <w:b w:val="false"/>
          <w:sz w:val="26"/>
        </w:rPr>
        <w:t>-  Tổ chức chứng nhận hợp quy đánh giá và cấp Giấy chứng nhận hợp quy không quá bảy (07) ngày làm việc kể từ khi nhận đủ hồ sơ theo quy định.
Trường hợp không cấp giấy chứng nhận hợp quy, Tổ chức chứng nhận hợp quy có trách nhiệm thông báo bằng văn bản cho tổ chức, cá nhân đề nghị chứng nhận và nêu rõ lý do.</w:t>
      </w:r>
    </w:p>
    <w:p>
      <w:pPr>
        <w:spacing w:after="0" w:before="0" w:lineRule="auto" w:line="276"/>
        <w:jc w:val="both"/>
      </w:pPr>
      <w:r>
        <w:rPr>
          <w:rFonts w:ascii="Times New Roman" w:hAnsi="Times New Roman" w:cs="Times New Roman" w:eastAsia="Times New Roman"/>
          <w:b w:val="false"/>
          <w:sz w:val="26"/>
        </w:rPr>
        <w:t>- Đối với trường hợp cấp lại giấy chứng nhận hợp quy: tổ chức, cá nhân phải thực hiện lại thủ tục chứng nhận hợp quy trong các trường hợp quy định tại Điều 22 Thông tư số 30/2011/TT-BTTTT được sửa đổi, bổ sung tại Thông tư số 15/2018/TT-BTTTT, trình tự thực hiện giống như đăng ký đề nghị cấp mới giấy chứng nhận hợp quy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Mức giá : theo thỏa thuận </w:t>
            </w:r>
          </w:p>
        </w:tc>
        <w:tc>
          <w:p/>
          <w:p>
            <w:pPr>
              <w:spacing w:after="0" w:before="0" w:lineRule="auto" w:line="276"/>
              <w:jc w:val="left"/>
            </w:pPr>
            <w:r>
              <w:rPr>
                <w:rFonts w:ascii="Times New Roman" w:hAnsi="Times New Roman" w:cs="Times New Roman" w:eastAsia="Times New Roman"/>
                <w:b w:val="false"/>
                <w:sz w:val="26"/>
              </w:rPr>
              <w:t>tới địa chỉ do Cục Viễn thông đăng tải trên Trang thông tin điện tử của Cục Viễn thông: vnta.gov.vn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Mức giá : theo thỏa thuận </w:t>
            </w:r>
          </w:p>
        </w:tc>
        <w:tc>
          <w:p/>
          <w:p>
            <w:pPr>
              <w:spacing w:after="0" w:before="0" w:lineRule="auto" w:line="276"/>
              <w:jc w:val="left"/>
            </w:pPr>
            <w:r>
              <w:rPr>
                <w:rFonts w:ascii="Times New Roman" w:hAnsi="Times New Roman" w:cs="Times New Roman" w:eastAsia="Times New Roman"/>
                <w:b w:val="false"/>
                <w:sz w:val="26"/>
              </w:rPr>
              <w:t>tới địa chỉ do Cục Viễn thông đăng tải trên Trang thông tin điện tử của Cục Viễn thông: vnta.gov.vn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Mức giá : theo thỏa thuận </w:t>
            </w:r>
          </w:p>
        </w:tc>
        <w:tc>
          <w:p/>
          <w:p>
            <w:pPr>
              <w:spacing w:after="0" w:before="0" w:lineRule="auto" w:line="276"/>
              <w:jc w:val="left"/>
            </w:pPr>
            <w:r>
              <w:rPr>
                <w:rFonts w:ascii="Times New Roman" w:hAnsi="Times New Roman" w:cs="Times New Roman" w:eastAsia="Times New Roman"/>
                <w:b w:val="false"/>
                <w:sz w:val="26"/>
              </w:rPr>
              <w:t>do Cục Viễn thông đăng tải, hướng dẫn trên Trang thông tin điện tử của Cục Viễn thông: vnta.gov.vn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chứng nhận hợp quy (Mẫu số 01 tại Phụ lục ban hành kèm theo Thông tư số 15/2018/TT-BTTTT</w:t>
            </w:r>
          </w:p>
        </w:tc>
        <w:tc>
          <w:p/>
          <w:p>
            <w:pPr>
              <w:spacing w:after="0" w:before="0" w:lineRule="auto" w:line="276"/>
              <w:jc w:val="left"/>
            </w:pPr>
            <w:r>
              <w:rPr>
                <w:rFonts w:ascii="Times New Roman" w:hAnsi="Times New Roman" w:cs="Times New Roman" w:eastAsia="Times New Roman"/>
                <w:b w:val="false"/>
                <w:sz w:val="26"/>
              </w:rPr>
              <w:t>Mẫu đề nghị chứng nhận hợp quy.doc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tư cách pháp nhân: Trường hợp tổ chức chưa có mã số doanh nghiệp hoặc cá nhân chưa có số định danh cá nhân, tổ chức, cá nhân nộp kèm theo hồ sơ bản sao có chứng thực hoặc bản sao kèm theo bản gốc để đối chiếu một trong các loại giấy tờ sau: + Giấy chứng nhận đăng ký kinh doanh; Quyết định/Giấy phép thành lập, Giấy chứng nhận đầu tư/Giấy phép đầu tư (đối với tổ chức chưa có mã số doanh nghiệp); + Chứng minh nhân dân/ hộ chiếu (đối với cá nhân chưa có số định danh cá nhân). Tổ chức, cá nhân chỉ nộp thành phần hồ sơ này khi thực hiện công bố hợp quy lần đầu hoặc các giấy tờ nêu trên có sự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đo kiểm sản phẩm của đơn vị đo kiểm quy định tại khoản 1 Điều 5 Thông tư số 30/2011/TT-BTTTT cấp cho tổ chức, cá nhân hoặc nhà sản xuất hoặc đại diện được ủy quyền của nhà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bằng tiếng Việt hoặc tiếng Anh của sản phẩm thể hiện đầy đủ các nội dung: Tên, ký hiệu và các thông tin kỹ thuật của sản phẩm, ảnh chụp bên ngoài, hãng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chỉ chứng nhận hệ thống quản lý chất lượng sản phẩm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Viễn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chỉ do Cục Viễn thông đăng tải trên Trang thông tin điện tử của Cục Viễn thông: vnta.gov.vn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Thông tin và Truyền thông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01/07/2008</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01-07-2008</w:t>
            </w:r>
          </w:p>
        </w:tc>
        <w:tc>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Tần số vô tuyến điện</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41/2009/QH12</w:t>
            </w:r>
          </w:p>
        </w:tc>
        <w:tc>
          <w:p/>
          <w:p>
            <w:pPr>
              <w:spacing w:after="0" w:before="0" w:lineRule="auto" w:line="276"/>
              <w:jc w:val="left"/>
            </w:pPr>
            <w:r>
              <w:rPr>
                <w:rFonts w:ascii="Times New Roman" w:hAnsi="Times New Roman" w:cs="Times New Roman" w:eastAsia="Times New Roman"/>
                <w:b w:val="false"/>
                <w:sz w:val="26"/>
              </w:rPr>
              <w:t>Viễn thông</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số 42/2009/QH12 ngày 04/12/2009 của Quốc hội về tần số vô tuyến điện</w:t>
            </w:r>
          </w:p>
        </w:tc>
        <w:tc>
          <w:p/>
          <w:p>
            <w:pPr>
              <w:spacing w:after="0" w:before="0" w:lineRule="auto" w:line="276"/>
              <w:jc w:val="left"/>
            </w:pPr>
            <w:r>
              <w:rPr>
                <w:rFonts w:ascii="Times New Roman" w:hAnsi="Times New Roman" w:cs="Times New Roman" w:eastAsia="Times New Roman"/>
                <w:b w:val="false"/>
                <w:sz w:val="26"/>
              </w:rPr>
              <w:t>01-07-2010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 xml:space="preserve">41/2009/QH12 </w:t>
            </w:r>
          </w:p>
        </w:tc>
        <w:tc>
          <w:p/>
          <w:p>
            <w:pPr>
              <w:spacing w:after="0" w:before="0" w:lineRule="auto" w:line="276"/>
              <w:jc w:val="left"/>
            </w:pPr>
            <w:r>
              <w:rPr>
                <w:rFonts w:ascii="Times New Roman" w:hAnsi="Times New Roman" w:cs="Times New Roman" w:eastAsia="Times New Roman"/>
                <w:b w:val="false"/>
                <w:sz w:val="26"/>
              </w:rPr>
              <w:t>Luật số 41/2009/QH12 ngày 04/12/2009 của Quốc hội về viễn thông</w:t>
            </w:r>
          </w:p>
        </w:tc>
        <w:tc>
          <w:p/>
          <w:p>
            <w:pPr>
              <w:spacing w:after="0" w:before="0" w:lineRule="auto" w:line="276"/>
              <w:jc w:val="left"/>
            </w:pPr>
            <w:r>
              <w:rPr>
                <w:rFonts w:ascii="Times New Roman" w:hAnsi="Times New Roman" w:cs="Times New Roman" w:eastAsia="Times New Roman"/>
                <w:b w:val="false"/>
                <w:sz w:val="26"/>
              </w:rPr>
              <w:t>01-07-2010</w:t>
            </w:r>
          </w:p>
        </w:tc>
        <w:tc>
          <w:p/>
        </w:tc>
      </w:tr>
      <w:tr>
        <w:tc>
          <w:p/>
          <w:p>
            <w:pPr>
              <w:spacing w:after="0" w:before="0" w:lineRule="auto" w:line="276"/>
              <w:jc w:val="left"/>
            </w:pPr>
            <w:r>
              <w:rPr>
                <w:rFonts w:ascii="Times New Roman" w:hAnsi="Times New Roman" w:cs="Times New Roman" w:eastAsia="Times New Roman"/>
                <w:b w:val="false"/>
                <w:sz w:val="26"/>
              </w:rPr>
              <w:t>25/2011/NĐ-CP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Viễn thông</w:t>
            </w:r>
          </w:p>
        </w:tc>
        <w:tc>
          <w:p/>
          <w:p>
            <w:pPr>
              <w:spacing w:after="0" w:before="0" w:lineRule="auto" w:line="276"/>
              <w:jc w:val="left"/>
            </w:pPr>
            <w:r>
              <w:rPr>
                <w:rFonts w:ascii="Times New Roman" w:hAnsi="Times New Roman" w:cs="Times New Roman" w:eastAsia="Times New Roman"/>
                <w:b w:val="false"/>
                <w:sz w:val="26"/>
              </w:rPr>
              <w:t>06-04-2011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30/2011/TT-BTTTT	</w:t>
            </w:r>
          </w:p>
        </w:tc>
        <w:tc>
          <w:p/>
          <w:p>
            <w:pPr>
              <w:spacing w:after="0" w:before="0" w:lineRule="auto" w:line="276"/>
              <w:jc w:val="left"/>
            </w:pPr>
            <w:r>
              <w:rPr>
                <w:rFonts w:ascii="Times New Roman" w:hAnsi="Times New Roman" w:cs="Times New Roman" w:eastAsia="Times New Roman"/>
                <w:b w:val="false"/>
                <w:sz w:val="26"/>
              </w:rPr>
              <w:t>Quy định về chứng nhận hợp quy và công bố hợp quy đối với sản phẩm, hàng hóa chuyên ngành công nghệ thông tin về truyền thông</w:t>
            </w:r>
          </w:p>
        </w:tc>
        <w:tc>
          <w:p/>
          <w:p>
            <w:pPr>
              <w:spacing w:after="0" w:before="0" w:lineRule="auto" w:line="276"/>
              <w:jc w:val="left"/>
            </w:pPr>
            <w:r>
              <w:rPr>
                <w:rFonts w:ascii="Times New Roman" w:hAnsi="Times New Roman" w:cs="Times New Roman" w:eastAsia="Times New Roman"/>
                <w:b w:val="false"/>
                <w:sz w:val="26"/>
              </w:rPr>
              <w:t>31-10-2011</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132/2008/NĐ-CP ngày 31 tháng 12 năm 2008 của Chính phủ quy định chi tiết thi hành một số điều Luật chất lượng sản phẩm, hàng hóa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15/2018/TT-BTTTT</w:t>
            </w:r>
          </w:p>
        </w:tc>
        <w:tc>
          <w:p/>
          <w:p>
            <w:pPr>
              <w:spacing w:after="0" w:before="0" w:lineRule="auto" w:line="276"/>
              <w:jc w:val="left"/>
            </w:pPr>
            <w:r>
              <w:rPr>
                <w:rFonts w:ascii="Times New Roman" w:hAnsi="Times New Roman" w:cs="Times New Roman" w:eastAsia="Times New Roman"/>
                <w:b w:val="false"/>
                <w:sz w:val="26"/>
              </w:rPr>
              <w:t>15/2018/TT-BTTTT</w:t>
            </w:r>
          </w:p>
        </w:tc>
        <w:tc>
          <w:p/>
          <w:p>
            <w:pPr>
              <w:spacing w:after="0" w:before="0" w:lineRule="auto" w:line="276"/>
              <w:jc w:val="left"/>
            </w:pPr>
            <w:r>
              <w:rPr>
                <w:rFonts w:ascii="Times New Roman" w:hAnsi="Times New Roman" w:cs="Times New Roman" w:eastAsia="Times New Roman"/>
                <w:b w:val="false"/>
                <w:sz w:val="26"/>
              </w:rPr>
              <w:t>15-11-2018</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Chứng nhận hợp quy đối với thiết bị vô tuyến điện phải phù hợp với các quy hoạch tần số vô tuyến điện và bảo đảm các quy định quản lý về chất lượng phát xạ, an toàn bức xạ vô tuyến điện và tương thích điện từ theo quy định của pháp luật.
- Ngoài việc tuân thủ Thông tư số 30/2011/TT-BTTTT được sửa đổi, bổ sung tại Thông tư 15/2018/TT-BTTTT về chứng nhận và công bố hợp quy, các thiết bị vô tuyến điện khi sử dụng trên lãnh thổ Việt Nam còn phải có Giấy phép sử dụng tần số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2026-05-22T16:17:59Z</dcterms:created>
  <dc:creator>Apache POI</dc:creator>
</cp:coreProperties>
</file>