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Gửi thang lương, bảng lương, định mức lao động của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xây dựng thang, bảng lương theo các nguyên tắc do Chính phủ quy định và gửi cơ quan quản lý nhà nước về lao động cấp huyện.</w:t>
      </w:r>
    </w:p>
    <w:p>
      <w:pPr>
        <w:spacing w:after="0" w:before="0" w:lineRule="auto" w:line="276"/>
        <w:jc w:val="both"/>
      </w:pPr>
      <w:r>
        <w:rPr>
          <w:rFonts w:ascii="Times New Roman" w:hAnsi="Times New Roman" w:cs="Times New Roman" w:eastAsia="Times New Roman"/>
          <w:b w:val="false"/>
          <w:sz w:val="26"/>
        </w:rPr>
        <w:t>Bước 2: Cơ quan quản lý nhà nước về lao động cấp huyện tiếp nhận thang, bảng lương đăng ký. Trường hợp cơ quan quản lý nhà nước phát hiện thang, bảng lương của doanh nghiệp vi phạm các nguyên tắc do Chính phủ quy định thì thông báo cho doanh nghiệp sửa đổi, bổ sung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Thang, bảng lương, định mức lao động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nhà nước về lao động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10/2012/QH13</w:t>
            </w:r>
          </w:p>
        </w:tc>
        <w:tc>
          <w:p/>
          <w:p>
            <w:pPr>
              <w:spacing w:after="0" w:before="0" w:lineRule="auto" w:line="276"/>
              <w:jc w:val="left"/>
            </w:pPr>
            <w:r>
              <w:rPr>
                <w:rFonts w:ascii="Times New Roman" w:hAnsi="Times New Roman" w:cs="Times New Roman" w:eastAsia="Times New Roman"/>
                <w:b w:val="false"/>
                <w:sz w:val="26"/>
              </w:rPr>
              <w:t>Bộ luật 10/2012/QH13-Lao động</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121/2018/NĐ-CP</w:t>
            </w:r>
          </w:p>
        </w:tc>
        <w:tc>
          <w:p/>
          <w:p>
            <w:pPr>
              <w:spacing w:after="0" w:before="0" w:lineRule="auto" w:line="276"/>
              <w:jc w:val="left"/>
            </w:pPr>
            <w:r>
              <w:rPr>
                <w:rFonts w:ascii="Times New Roman" w:hAnsi="Times New Roman" w:cs="Times New Roman" w:eastAsia="Times New Roman"/>
                <w:b w:val="false"/>
                <w:sz w:val="26"/>
              </w:rPr>
              <w:t>Nghị định 121/2018/NĐ-CP - Sửa đổi, bổ sung một số điều của Nghị định số 49/2013/NĐ-CP ngày 14/5/2013 của Chính Phủ quy định chi tiết thi hành một số điều của Bộ luật Lao động về tiền lương</w:t>
            </w:r>
          </w:p>
        </w:tc>
        <w:tc>
          <w:p/>
          <w:p>
            <w:pPr>
              <w:spacing w:after="0" w:before="0" w:lineRule="auto" w:line="276"/>
              <w:jc w:val="left"/>
            </w:pPr>
            <w:r>
              <w:rPr>
                <w:rFonts w:ascii="Times New Roman" w:hAnsi="Times New Roman" w:cs="Times New Roman" w:eastAsia="Times New Roman"/>
                <w:b w:val="false"/>
                <w:sz w:val="26"/>
              </w:rPr>
              <w:t>13-09-2018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trái với các nguyên tắc do pháp luật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2026-05-27T17:50:05Z</dcterms:created>
  <dc:creator>Apache POI</dc:creator>
</cp:coreProperties>
</file>