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khi hợp tác xã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Hội đồng quản trị của các hợp tác xã bị sáp nhập xây dựng phương án sáp nhập trình đại hội thành viên của mình quyết định và có trách nhiệm thông báo bằng văn bản cho các chủ nợ, các tổ chức và cá nhân có quan hệ kinh tế với liên hiệp hợp tác xã về quyết định sáp nhập.</w:t>
      </w:r>
    </w:p>
    <w:p>
      <w:pPr>
        <w:spacing w:after="0" w:before="0" w:lineRule="auto" w:line="276"/>
        <w:jc w:val="both"/>
      </w:pPr>
      <w:r>
        <w:rPr>
          <w:rFonts w:ascii="Times New Roman" w:hAnsi="Times New Roman" w:cs="Times New Roman" w:eastAsia="Times New Roman"/>
          <w:b w:val="false"/>
          <w:sz w:val="26"/>
        </w:rPr>
        <w:t>- Hội đồng quản trị của các hợp tác xã bị sáp nhập hiệp thương về phương án sáp nhập, gồm các nội dung chủ yếu sau: phương án xử lý tài sản, vốn, các khoản nợ; phương án xử lý lao động và những vấn đề tồn động của các liên hiệp hợp tác xã bị sáp nhập.</w:t>
      </w:r>
    </w:p>
    <w:p>
      <w:pPr>
        <w:spacing w:after="0" w:before="0" w:lineRule="auto" w:line="276"/>
        <w:jc w:val="both"/>
      </w:pPr>
      <w:r>
        <w:rPr>
          <w:rFonts w:ascii="Times New Roman" w:hAnsi="Times New Roman" w:cs="Times New Roman" w:eastAsia="Times New Roman"/>
          <w:b w:val="false"/>
          <w:sz w:val="26"/>
        </w:rPr>
        <w:t>- Hợp tác xã sau khi sáp nhập nộp hồ sơ đăng ký thay đổi tại Phòng Tài chính - Kế hoạch thuộc Ủy ban nhân dân cấp huyện, nơi hợp tác xã đặt trụ sở chính.</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Hồ sơ đăng ký thay đổi hợp tác xã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đăng ký thành lập hợp tác xã;
+ Đã nộp lệ phí đăng ký hợp tác xã theo quy định.
</w:t>
      </w:r>
    </w:p>
    <w:p>
      <w:pPr>
        <w:spacing w:after="0" w:before="0" w:lineRule="auto" w:line="276"/>
        <w:jc w:val="both"/>
      </w:pPr>
      <w:r>
        <w:rPr>
          <w:rFonts w:ascii="Times New Roman" w:hAnsi="Times New Roman" w:cs="Times New Roman" w:eastAsia="Times New Roman"/>
          <w:b w:val="false"/>
          <w:sz w:val="26"/>
        </w:rPr>
        <w:t>-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w:t>
      </w:r>
    </w:p>
    <w:p>
      <w:pPr>
        <w:spacing w:after="0" w:before="0" w:lineRule="auto" w:line="276"/>
        <w:jc w:val="both"/>
      </w:pPr>
      <w:r>
        <w:rPr>
          <w:rFonts w:ascii="Times New Roman" w:hAnsi="Times New Roman" w:cs="Times New Roman" w:eastAsia="Times New Roman"/>
          <w:b w:val="false"/>
          <w:sz w:val="26"/>
        </w:rPr>
        <w:t>-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Sau khi tiếp nhận hồ sơ đăng ký thay đổi hợp tác xã, Phòng Tài chính - Kế hoạch trao Giấy biên nhận về việc nhận hồ sơ cho người nộp hồ sơ.</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hồ sơ không đủ điều kiện cấp đăng ký theo quy định tại Điều 24 Luật Hợp tác xã, Phòng Tài chính - Kế hoạch phải thông báo rõ nội dung cần sửa đổi, bổ sung bằng văn bản cho người đăng ký thay đổi hợp tác xã trong thời hạn 03 ngày làm việc kể từ ngày tiếp nhận hồ sơ. Phòng Tài chính - Kế hoạch ghi toàn bộ yêu cầu sửa đổi, bổ sung hồ sơ đăng ký hợp tác xã đối với mỗi một bộ hồ sơ do hợp tác xã nộp trong 01 Thông báo yêu cầu sửa đổi, bổ sung hồ sơ đăng ký hợp tác xã</w:t>
      </w:r>
    </w:p>
    <w:p>
      <w:pPr>
        <w:spacing w:after="0" w:before="0" w:lineRule="auto" w:line="276"/>
        <w:jc w:val="both"/>
      </w:pPr>
      <w:r>
        <w:rPr>
          <w:rFonts w:ascii="Times New Roman" w:hAnsi="Times New Roman" w:cs="Times New Roman" w:eastAsia="Times New Roman"/>
          <w:b w:val="false"/>
          <w:sz w:val="26"/>
        </w:rPr>
        <w:t>- Trường hợp hồ sơ đủ các điều kiện theo quy định tại Điều 24 Luật Hợp tác xã, hợp tác xã được cấp Giấy chứng nhận đăng ký hợp tác xã trong thời hạn 03 ngày làm việc kể từ ngày nhận được hồ sơ hợp lệ và phải nộp Giấy chứng nhận đăng ký hợp tác xã cũ cho Phòng Đăng ký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Người có thẩm quyền đăng ký thay đổi hợp tác xã hoặc người đại diện theo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Trường hợp người được cá nhân có thẩm quyền ký văn bản đề nghị đăng ký thay đổi hợp tác xã theo quy định ủy quyền thực hiện thủ tục liên quan đến đăng ký thay đổi hợp tác xã, thì người được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xml:space="preserve">- Hồ sơ đăng ký thay đổi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hợp tác xã được nhập đầy đủ và chính xác theo thông tin trong các văn bản điện tử; (3) Hồ sơ đăng ký thay đổi hợp tác xã qua mạng điện tử phải được xác thực bằng chữ ký số công cộng của một trong các chủ thể sau đây: (3a) Cá nhân có thẩm quyền ký văn bản đề nghị đăng ký thay đổi hợp tác xã theo quy định; (3b) Người được cá nhân có thẩm quyền ký văn bản đề nghị đăng ký thay đổi hợp tác xã theo quy định ủy quyền thực hiện thủ tục liên quan đến đăng ký thay đổi hợp tác xã. </w:t>
      </w:r>
    </w:p>
    <w:p>
      <w:pPr>
        <w:spacing w:after="0" w:before="0" w:lineRule="auto" w:line="276"/>
        <w:jc w:val="both"/>
      </w:pPr>
      <w:r>
        <w:rPr>
          <w:rFonts w:ascii="Times New Roman" w:hAnsi="Times New Roman" w:cs="Times New Roman" w:eastAsia="Times New Roman"/>
          <w:b w:val="false"/>
          <w:sz w:val="26"/>
        </w:rPr>
        <w:t>-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Thời hạn để hợp tác xã sửa đổi, bổ sung hồ sơ đăng ký thay đổi hợp tác xã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đăng ký hợp tác xã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cá nhân có thẩm quyền đăng ký hoặc người được cá nhân có thẩm quyền ký ủy quyền sẽ nhận được Giấy biên nhận hồ sơ đăng ký hợp tác xã qua mạng điện tử.</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hồ sơ chưa hợp lệ, Phòng Tài chính - Kế hoạch gửi thông báo qua mạng điện tử cho cá nhân có thẩm quyền ký hoặc người được cá nhân có thẩm quyền ký ủy quyền để yêu cầu sửa đổi, bổ sung hồ sơ.</w:t>
      </w:r>
    </w:p>
    <w:p>
      <w:pPr>
        <w:spacing w:after="0" w:before="0" w:lineRule="auto" w:line="276"/>
        <w:jc w:val="both"/>
      </w:pPr>
      <w:r>
        <w:rPr>
          <w:rFonts w:ascii="Times New Roman" w:hAnsi="Times New Roman" w:cs="Times New Roman" w:eastAsia="Times New Roman"/>
          <w:b w:val="false"/>
          <w:sz w:val="26"/>
        </w:rPr>
        <w:t>- Phòng Tài chính - Kế hoạch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hồ sơ hợp lệ.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br/>
              <w:t>File đính kèm: 23.2018_NQ-HDND.pdf</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hồ sơ hợp lệ. </w:t>
            </w:r>
          </w:p>
        </w:tc>
        <w:tc>
          <w:p/>
          <w:p>
            <w:pPr>
              <w:spacing w:after="0" w:before="0" w:lineRule="auto" w:line="276"/>
              <w:jc w:val="left"/>
            </w:pPr>
            <w:r>
              <w:rPr>
                <w:rFonts w:ascii="Times New Roman" w:hAnsi="Times New Roman" w:cs="Times New Roman" w:eastAsia="Times New Roman"/>
                <w:b w:val="false"/>
                <w:sz w:val="26"/>
              </w:rPr>
              <w:t>Phí :  Đồng</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có thẩm quyền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được ủy quyền, phải có thêm: (1) bản sao hợp lệ giấy tờ chứng thực cá nhân của người được ủy quyền;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của hợp tác xã;</w:t>
            </w:r>
          </w:p>
        </w:tc>
        <w:tc>
          <w:p/>
          <w:p>
            <w:pPr>
              <w:spacing w:after="0" w:before="0" w:lineRule="auto" w:line="276"/>
              <w:jc w:val="left"/>
            </w:pPr>
            <w:r>
              <w:rPr>
                <w:rFonts w:ascii="Times New Roman" w:hAnsi="Times New Roman" w:cs="Times New Roman" w:eastAsia="Times New Roman"/>
                <w:b w:val="false"/>
                <w:sz w:val="26"/>
              </w:rPr>
              <w:t>Phu luc I-5_TT07.2019.docx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về việc sáp nhập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 Kế hoạch thuộc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khi hợp tác xã sáp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2026-05-20T05:26:44Z</dcterms:created>
  <dc:creator>Apache POI</dc:creator>
</cp:coreProperties>
</file>