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sát hạch cho trung tâm sát hạch lái xe loại 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Sau khi xây dựng xong trung tâm sát hạch lái xe, tổ chức, cá nhân gửi văn bản đề nghị cấp giấy phép sát hạch đến Sở Giao thông vận tải.</w:t>
      </w:r>
    </w:p>
    <w:p>
      <w:pPr>
        <w:spacing w:after="0" w:before="0" w:lineRule="auto" w:line="276"/>
        <w:jc w:val="both"/>
      </w:pPr>
      <w:r>
        <w:rPr>
          <w:rFonts w:ascii="Times New Roman" w:hAnsi="Times New Roman" w:cs="Times New Roman" w:eastAsia="Times New Roman"/>
          <w:b w:val="false"/>
          <w:sz w:val="26"/>
        </w:rPr>
        <w:t>b) Giải quyết TTHC:
- Trong thời gian không quá 03 ngày làm việc, kể từ ngày tiếp nhận hồ sơ, Sở Giao thông vận tải kiểm tra tính đầy đủ của hồ sơ; trường hợp hồ sơ chưa đầy đủ thì Sở Giao thông vận tải có văn bản hướng dẫn tổ chức, cá nhân hoàn thiện lại theo quy định; trong thời gian không quá 05 ngày làm việc kể từ ngày nhận đủ hồ sơ theo quy định, Sở Giao thông vận tải tổ chức kiểm tra, lập biên bản và cấp giấy phép sát hạch. Trường hợp không cấp, phải trả lời bằng văn bản và nêu rõ lý do.
- Việc trả kết quả được thực hiện tại trụ sở cơ quan có thẩm quyền cấp giấy phép hoặc qua dịch vụ bưu chính; trường hợp cấp giấy phép sát hạch điện tử, Sở Giao thông vận tải đăng trên Trang thông tin điện tử để trung tâm sát hạch lái xe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sát hạch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xây dựng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bố trí mặt bằng tổng thể, hồ sơ thiết kế kích thước hình sát hạch, loại xe cơ giới dùng để sát hạch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sát hạch (loại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đủ các điều kiện quy định tại Điều 23, Điều 24, và Điều 25 của Nghị định số 160/2024/NĐ-CP ngày 18/12/2024 của Chính phủ quy định về hoạt động đào tạo và sát hạch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2026-05-22T10:07:36Z</dcterms:created>
  <dc:creator>Apache POI</dc:creator>
</cp:coreProperties>
</file>