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xe chở người bốn bánh có gắn động cơ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nhập khẩu nộp hồ sơ đăng ký kiểm tra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và kiểm tra nội dung hồ sơ đăng ký kiểm tra và có kết quả thông báo cho Cơ sở nhập khẩu trong thời hạn 01 ngày làm việc. Trường hợp hồ sơ đăng ký kiểm tra đầy đủ theo quy định thì Cục Đăng kiểm Việt Nam xác nhận vào Bản đăng ký kiểm tra. Trường hợp hồ sơ đăng ký kiểm tra chưa đầy đủ theo quy định thì Cục Đăng kiểm Việt Nam trả lại hồ sơ và hướng dẫn Cơ sở nhập khẩu bổ sung, hoàn thiện lại.
Cục Đăng kiểm Việt Nam thống nhất với Cơ sở nhập khẩu về thời gian và địa điểm kiểm tra. Thời gian kiểm tra không quá 03 ngày làm việc so với ngày đề nghị kiểm tra của Cơ sở nhập khẩu.</w:t>
      </w:r>
    </w:p>
    <w:p>
      <w:pPr>
        <w:spacing w:after="0" w:before="0" w:lineRule="auto" w:line="276"/>
        <w:jc w:val="both"/>
      </w:pPr>
      <w:r>
        <w:rPr>
          <w:rFonts w:ascii="Times New Roman" w:hAnsi="Times New Roman" w:cs="Times New Roman" w:eastAsia="Times New Roman"/>
          <w:b w:val="false"/>
          <w:sz w:val="26"/>
        </w:rPr>
        <w:t>- Cục Đăng kiểm Việt Nam tiến hành kiểm tra xe và xem xét kết quả thử nghiệm Xe, tiến hành thông báo kết quả trong phạm vi 03 ngày làm việc (kể từ ngày kết thúc kiểm tra, nhận được kết quả thử nghiệm) như sau:
+ Nếu không đạt yêu cầu thì thông báo để Cơ sở nhập khẩu khắc phục; Quá thời hạn 10 ngày làm việc, kể từ ngày thông báo, nếu Cơ sở nhập khẩu chưa có biện pháp khắc phục thì thông báo không đạt chất lượng.
+ Nếu đạt yêu cầu thì cấp Giấy chứng nhận. Trong quá trình kiểm tra, nếu Cục Đăng kiểm Việt Nam nhận được thông tin của nhà sản xuất hoặc cơ quan quản lý phương tiện nước ngoài thông báo Xe thuộc đối tượng phải triệu hồi (recall) để sửa chữa, khắc phục các lỗi kỹ thuật thì Cục Đăng kiểm Việt Nam chỉ cấp Giấy chứng nhận sau khi Cơ sở nhập khẩu có văn bản cam kết kèm theo văn bản của nhà sản xuất hoặc của các cơ sở được ủy quyền của nhà sản xuất xác nhận Xe nhập khẩu đã thực hiện xong việc sửa chữa khắc phục lỗi và đảm bảo an toàn.</w:t>
      </w:r>
    </w:p>
    <w:p>
      <w:pPr>
        <w:spacing w:after="0" w:before="0" w:lineRule="auto" w:line="276"/>
        <w:jc w:val="both"/>
      </w:pPr>
      <w:r>
        <w:rPr>
          <w:rFonts w:ascii="Times New Roman" w:hAnsi="Times New Roman" w:cs="Times New Roman" w:eastAsia="Times New Roman"/>
          <w:b w:val="false"/>
          <w:sz w:val="26"/>
        </w:rPr>
        <w:t>- Cơ sở nhập khẩu nhận kết quả trực tiếp tại trụ sở cơ quan kiểm tra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Mức giá : 300.000 Đồng</w:t>
              <w:t xml:space="preserve"> (Giá dịch vụ kiểm tra: 0,1% giá nhập khẩu/chiếc nhưng không dưới 300.000 đồng/chiếc)</w:t>
            </w:r>
          </w:p>
          <w:p>
            <w:pPr>
              <w:spacing w:after="0" w:before="0" w:lineRule="auto" w:line="276"/>
              <w:jc w:val="left"/>
            </w:pPr>
            <w:r>
              <w:rPr>
                <w:rFonts w:ascii="Times New Roman" w:hAnsi="Times New Roman" w:cs="Times New Roman" w:eastAsia="Times New Roman"/>
                <w:b w:val="false"/>
                <w:sz w:val="26"/>
              </w:rPr>
              <w:t>Lệ phí : 40.000 Đồng</w:t>
              <w:t xml:space="preserve"> (40.000 đồng /01 xe)</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kết thúc kiểm tra, nhận được kết quả thử nghiệm.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xe)</w:t>
            </w:r>
          </w:p>
          <w:p>
            <w:pPr>
              <w:spacing w:after="0" w:before="0" w:lineRule="auto" w:line="276"/>
              <w:jc w:val="left"/>
            </w:pPr>
            <w:r>
              <w:rPr>
                <w:rFonts w:ascii="Times New Roman" w:hAnsi="Times New Roman" w:cs="Times New Roman" w:eastAsia="Times New Roman"/>
                <w:b w:val="false"/>
                <w:sz w:val="26"/>
              </w:rPr>
              <w:t>Mức giá : 300.000 Đồng</w:t>
              <w:t xml:space="preserve"> (Giá dịch vụ kiểm tra: 0,1% giá nhập khẩu/chiếc nhưng không dưới 300.000 đồng/chiếc)</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kết thúc kiểm tra, nhận được kết quả thử nghiệm.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 /01 xe)</w:t>
            </w:r>
          </w:p>
          <w:p>
            <w:pPr>
              <w:spacing w:after="0" w:before="0" w:lineRule="auto" w:line="276"/>
              <w:jc w:val="left"/>
            </w:pPr>
            <w:r>
              <w:rPr>
                <w:rFonts w:ascii="Times New Roman" w:hAnsi="Times New Roman" w:cs="Times New Roman" w:eastAsia="Times New Roman"/>
                <w:b w:val="false"/>
                <w:sz w:val="26"/>
              </w:rPr>
              <w:t>Mức giá : 300.000 Đồng</w:t>
              <w:t xml:space="preserve"> (Giá dịch vụ kiểm tra: 0,1% giá nhập khẩu/chiếc nhưng không dưới 300.000 đồng/chiếc)</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kết thúc kiểm tra, nhận được kết quả thử nghiệm.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Bản đăng ký kiểm tra chất lượng an toàn kỹ thuật và bảo vệ môi trường xe nhập khẩu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xác nhận của Cơ sở nhập khẩu tài liệu giới thiệu tính năng và thông số kỹ thuật của Xe, trong đó thể hiện các nội dung cơ bản sau: các thông số về kích thước cơ bản; các thông số về khối lượng (khối lượng bản thân, khối lượng toàn bộ); số người cho phép chở; vận tốc lớn nhất; cỡ lốp; quãng đường đi được liên tục của xe trong một lần sạc điện (đối với xe sử dụng động cơ điện); giới thiệu về các hệ thống chính, bao gồm: hệ thống truyền lực, hệ thống phanh, hệ thống treo, hệ thống lái, hệ thống đèn chiếu sáng tín hiệu và các thông số kỹ thuật cơ bản của động cơ (đối với động cơ đốt trong: công suất lớn nhất ứng với tốc độ quay, thể tích làm việc, loại nhiên liệu sử dụng; đối với động cơ điện: công suất lớn nhất, điện áp danh định, dung lượng của ắc quy); (Các Xe cùng kiểu loại với kiểu loại Xe đã được Cục Đăng kiểm Việt Nam kiểm tra và cấp Giấy chứng nhận được miễn nộp hạng mục hồ sơ tài liệu này). Trường hợp không cung cấp được tài liệu giới thiệu tính năng và thông số kỹ thuật của Xe hoặc tài liệu này chưa đủ nội dung theo quy định thì Cơ sở nhập khẩu sử dụng Bản đăng ký thông số kỹ thuật theo mẫu để thay thế. (Tài liệu giới thiệu tính năng và thông số kỹ thuật của Xe có thể nộp chậm hơn Bản đăng ký kiểm tra nhưng phải nộp trước khi tiến hành kiểm tra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quy định nêu trên được sử dụng bản điện tử thay thế cho bản giấy khi thực hiện thủ tục trên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an toàn kỹ thuật và bảo vệ môi trường xe chở người bốn bánh có gắn động cơ nhập khẩu, Thông báo không đạt chất lượng an toàn kỹ thuật và bảo vệ môi trường xe chở người bốn bánh có gắn động cơ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người bốn bánh có gắn động cơ và người điều khiển tham gia giao thông trong phạm vi hạn chế</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239/2016/TT-BTC</w:t>
            </w:r>
          </w:p>
        </w:tc>
        <w:tc>
          <w:p/>
          <w:p>
            <w:pPr>
              <w:spacing w:after="0" w:before="0" w:lineRule="auto" w:line="276"/>
              <w:jc w:val="left"/>
            </w:pPr>
            <w:r>
              <w:rPr>
                <w:rFonts w:ascii="Times New Roman" w:hAnsi="Times New Roman" w:cs="Times New Roman" w:eastAsia="Times New Roman"/>
                <w:b w:val="false"/>
                <w:sz w:val="26"/>
              </w:rPr>
              <w:t>Quy định về giá dịch vụ thử nghiệm, kiếm tra chất lượng an toàn kỹ thuật và bảo vệ môi trường đối với các loại phương tiện giao thông cơ giới đưòng bộ, xe máy chuyên dùng, linh kiện trong sản xuất, lẳp ráp và nhập khấu</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42/2018/TT-BGTVT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Thỏa mãn các hạng mục quy định về chất lượng an toàn kỹ thuật và bảo vệ môi trường xe chở người bốn bánh có gắn động cơ tham gia giao thông trong phạm vi hạn chế theo Phụ lục I ban hành kèm theo Thông tư số 86/2014/TT-BGTVT; 
- Phù hợp các hạng mục đối chiếu các thông số kỹ thuật xe chở người bốn bánh có gắn động cơ không tham gia giao thông theo Phụ lục II ban hành kèm theo Thông tư số 86/2014/TT-BGTVT.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2026-05-19T13:30:05Z</dcterms:created>
  <dc:creator>Apache POI</dc:creator>
</cp:coreProperties>
</file>