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2503/QĐ-BXD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quy trình vận hành, khai thác bến bến phà, bến khách ngang sông sử dụng phà một lưỡi chở hành khách và xe ô tô</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a) Nộp hồ sơ TTHC:
- Cá nhân, tổ chức cá nhân đầu tư xây dựng, quản lý, khai thác và kinh doanh bến phà, bến khách ngang sông sử dụng phà một lưỡi chở hành khách và xe ô tô qua sông nộp hồ sơ đề nghị đến Sở Xây dựng địa phương.</w:t>
      </w:r>
    </w:p>
    <w:p>
      <w:pPr>
        <w:spacing w:after="0" w:before="0" w:lineRule="auto" w:line="276"/>
        <w:jc w:val="both"/>
      </w:pPr>
      <w:r>
        <w:rPr>
          <w:rFonts w:ascii="Times New Roman" w:hAnsi="Times New Roman" w:cs="Times New Roman" w:eastAsia="Times New Roman"/>
          <w:b w:val="false"/>
          <w:sz w:val="26"/>
        </w:rPr>
        <w:t>b) Giải quyết TTHC:
- Đối với trường hợp nộp trực tiếp, sau khi kiểm tra thành phần hồ sơ, nếu đúng quy định thì tiếp nhận hồ sơ và viết phiếu hẹn trả kết quả; hướng dẫn tổ chức, cá nhân hoàn thiện hồ sơ đối với trường hợp không đủ thành phần hồ sơ;
- Đối với trường hợp nộp qua đường bưu điện hoặc qua cổng dịch vụ công trực tuyến, trong phạm vi 02 ngày làm việc kể từ ngày nhận được hồ sơ, kiểm tra thành phần hồ sơ, nếu không đủ thành phần hồ sơ có văn bản thông báo đến tổ chức, cá nhân để bổ sung, hoàn thiện;
- Trong thời hạn 09 ngày làm việc kể từ khi nhận đủ hồ sơ theo quy định, cơ quan có thẩm quyền giải quyết thủ tục hành chính tiến hành thẩm định hồ sơ, nếu đủ điều kiện, thì ban hành Quyết định phê duyệt quy trình vận hành khai thác bến phà, bến khách ngang sông sử dụng phà một lưỡi chở hành khách và ô tô. Trường hợp không phê duyệt, cơ quan có thẩm quyền phê duyệt phải có văn bản trả lời và nêu rõ lý do.
- Kết quả giải quyết thủ tục hành chính được trả bằng bản điện tử, trừ trường hợp cá nhân, tổ chức có nhu cầu nhận bản giấy.</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Sở Xây dựng tiếp nhận, kiểm tra hồ sơ. Trong thời hạn 03 (ba) ngày làm việc kể từ ngày được nhận hồ sơ, nếu kiểm tra không đủ hồ sơ, Sở Xây dựng phải trả lời bằng văn bản và yêu cầu bổ sung hồ sơ theo quy định. Sở Xây dựng thẩm định và ra quyết định phê duyệt sau 20 (hai mươi) ngày làm việc, kể từ ngày nhận đủ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09 (chín)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09 (chín)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09 (chín)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phê duyệt quy trình (bản chính hoặc biểu mẫu điện tử)</w:t>
            </w:r>
          </w:p>
        </w:tc>
        <w:tc>
          <w:p/>
          <w:p>
            <w:pPr>
              <w:spacing w:after="0" w:before="0" w:lineRule="auto" w:line="276"/>
              <w:jc w:val="left"/>
            </w:pPr>
            <w:r>
              <w:rPr>
                <w:rFonts w:ascii="Times New Roman" w:hAnsi="Times New Roman" w:cs="Times New Roman" w:eastAsia="Times New Roman"/>
                <w:b w:val="false"/>
                <w:sz w:val="26"/>
              </w:rPr>
              <w:t>Don_TT1.005021.docx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 trình vận hành, khai thác bến phà (hoặc bến khách ngang sông) sử dụng phà một lưỡi chở hành khách và ô tô (bản chính, bản sao có chứng thực, bản sao điện tử được cấp từ sổ gốc, bản sao điện tử được chứng thực từ bản chính, bản sao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thành lập hoặc giấy phép hoạt động (bản chính, bản sao có chứng thực, bản sao điện tử được cấp từ sổ gốc, bản sao điện tử được chứng thực từ bản chính, bản sao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quy trình vận hành, khai thác bến phà, bến khách ngang sông sử dụng phà một lưỡi chở hành khách và xe ô tô</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LUẬT Giao thông đường bộ</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22/2014/TT-BGTVT</w:t>
            </w:r>
          </w:p>
        </w:tc>
        <w:tc>
          <w:p/>
          <w:p>
            <w:pPr>
              <w:spacing w:after="0" w:before="0" w:lineRule="auto" w:line="276"/>
              <w:jc w:val="left"/>
            </w:pPr>
            <w:r>
              <w:rPr>
                <w:rFonts w:ascii="Times New Roman" w:hAnsi="Times New Roman" w:cs="Times New Roman" w:eastAsia="Times New Roman"/>
                <w:b w:val="false"/>
                <w:sz w:val="26"/>
              </w:rPr>
              <w:t>Hướng dẫn xây dựng quy trình vận hành, khai thác bến phà, bến khách ngang sông sử dụng phà một lưỡi chở hành khách và xe ô tô</w:t>
            </w:r>
          </w:p>
        </w:tc>
        <w:tc>
          <w:p/>
          <w:p>
            <w:pPr>
              <w:spacing w:after="0" w:before="0" w:lineRule="auto" w:line="276"/>
              <w:jc w:val="left"/>
            </w:pPr>
            <w:r>
              <w:rPr>
                <w:rFonts w:ascii="Times New Roman" w:hAnsi="Times New Roman" w:cs="Times New Roman" w:eastAsia="Times New Roman"/>
                <w:b w:val="false"/>
                <w:sz w:val="26"/>
              </w:rPr>
              <w:t>06-06-2014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Bến sử dụng phà một lưỡi khi tham gia vào hoạt động vận tải chở hành khách và xe ô tô phải đáp ứng các quy định của Luật Giao thông đường thủy nội địa, Luật Đường bộ, tiêu chuẩn, quy chuẩn kỹ thuật hiện hành và các văn bản quy phạm pháp luật khác có liên quan; được cơ quan nhà nước có thẩm quyền thành lập hoặc cấp giấy phép hoạt động còn hiệu lực; có quy trình vận hành, khai thác được cơ quan nhà nước có thẩm quyền phê duyệt; chỉ được phép chở hành khách, chở xe ô tô tải có tải trọng dưới 3,5 tấn và chở xe ô tô khách dưới 16 chỗ ngồi;
- Bến phải được bảo đảm các yêu cầu kỹ thuật theo quy định của tiêu chuẩn quy chuẩn kỹ thuật hiện hành; đảm bảo đầy đủ các điều kiện theo pháp luật về giao thông đường thủy nội địa; phải có nơi đỗ xe ô tô chờ qua phà và nhà chờ cho hành khách ở trước biển báo dừng lại ngoài cổng chắn của bến.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2026-05-22T10:07:26Z</dcterms:created>
  <dc:creator>Apache POI</dc:creator>
</cp:coreProperties>
</file>