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phổ thông dân tộc nội trú có cấp học cao nhất là trung học phổ thông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Giám đốc Sở Giáo dục và Đào tạo nhận hồ sơ, xem xét điều kiện cho phép hoạt động giáo dục thực hiện. Nếu hồ sơ chưa đúng quy định thì thông báo bằng văn bản những nội dung cần chỉnh sửa, bổ sung cho nhà trường trong thời hạn 05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20 ngày làm việc kể từ ngày nhận đủ hồ sơ hợp lệ, Giám đốc Sở Giáo dục và Đào tạo quyết định cho phép trường phổ thông dân tộc nội trú cấp tỉnh và trường phổ thông dân tộc nội trú cấp huyện (có cấp trung học phổ thông) hoạt động giáo dục. Nếu chưa quyết định cho phép hoạt động giáo dục thì có văn bản thông báo cho nhà trường nêu rõ lý do và hướng giải quyết.</w:t>
      </w:r>
    </w:p>
    <w:p>
      <w:pPr>
        <w:spacing w:after="0" w:before="0" w:lineRule="auto" w:line="276"/>
        <w:jc w:val="both"/>
      </w:pPr>
      <w:r>
        <w:rPr>
          <w:rFonts w:ascii="Times New Roman" w:hAnsi="Times New Roman" w:cs="Times New Roman" w:eastAsia="Times New Roman"/>
          <w:b w:val="false"/>
          <w:sz w:val="26"/>
        </w:rPr>
        <w:t>- Trường phổ thông dân tộc nội trú có cấp trung học phổ thông gửi trực tiếp hoặc qua bưu điện 01 bộ hồ sơ đến Giám đốc Sở Giáo dục và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cho phép nhà trường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hoặc quyết định cho phép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thẩm định của các cơ quan liên quan về các điều kiện để trường phổ thông dân tộc nội trú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trường phổ thông có nhiều cấp học có cấp học cao nhất là trung học phổ thông hoạt động giáo dục của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Nghị định 135/2018/NĐ-CP</w:t>
            </w:r>
          </w:p>
        </w:tc>
        <w:tc>
          <w:p/>
          <w:p>
            <w:pPr>
              <w:spacing w:after="0" w:before="0" w:lineRule="auto" w:line="276"/>
              <w:jc w:val="left"/>
            </w:pPr>
            <w:r>
              <w:rPr>
                <w:rFonts w:ascii="Times New Roman" w:hAnsi="Times New Roman" w:cs="Times New Roman" w:eastAsia="Times New Roman"/>
                <w:b w:val="false"/>
                <w:sz w:val="26"/>
              </w:rPr>
              <w:t>04-10-2018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quyết định thành lập trường của Chủ tịch Ủy ban nhân dân cấp tỉnh.
- Có đất đai, cơ sở vật chất, thiết bị tương ứng với từng cấp học theo quy định tại Nghị định này và bảo đảm tiêu chí của trường chuẩn quốc gia, ngoài ra còn có thêm các điều kiện sau đây:
+ Khu nội trú có diện tích sử dụng tối thiểu 06 m2/học sinh;
+ Phòng ở nội trú, nhà ăn cho học sinh và các trang thiết bị kèm theo;
+ Nhà công vụ cho giáo viên;
+ Nhà sinh hoạt, giáo dục văn hóa dân tộc với các thiết bị kèm theo;
+ Phòng học và thiết bị giáo dục hướng nghiệp, dạy nghề phổ thông, nghề truyền thống của các dân tộc phù hợp với địa phương.
- Địa điểm của trường bảo đảm môi trường giáo dục, an toàn cho học sinh, giáo viên, cán bộ và nhân viên.
- Có chương trình giáo dục và tài liệu giảng dạy, học tập phù hợp với mỗi cấp học theo quy định.
- Có đội ngũ giáo viên và cán bộ quản lý đạt tiêu chuẩn về phẩm chất và đạt trình độ chuẩn được đào tạo theo quy định phù hợp đối với cấp học; đủ về số lượng theo cơ cấu về loại hình giáo viên bảo đảm thực hiện chương trình giáo dục và tổ chức các hoạt động giáo dục.
- Có đủ nguồn lực tài chính theo quy định để bảo đảm duy trì và phát triển hoạt động giáo dục.
- Có quy chế tổ chức và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2026-05-18T16:33:47Z</dcterms:created>
  <dc:creator>Apache POI</dc:creator>
</cp:coreProperties>
</file>