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nghiên cứu khả thi điều chỉnh dự án do nhà đầu tư đề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đầu tư được giao lập báo cáo nghiên cứu khả thi điều chỉnh, gửi Bộ, ngành;</w:t>
      </w:r>
    </w:p>
    <w:p>
      <w:pPr>
        <w:spacing w:after="0" w:before="0" w:lineRule="auto" w:line="276"/>
        <w:jc w:val="both"/>
      </w:pPr>
      <w:r>
        <w:rPr>
          <w:rFonts w:ascii="Times New Roman" w:hAnsi="Times New Roman" w:cs="Times New Roman" w:eastAsia="Times New Roman"/>
          <w:b w:val="false"/>
          <w:sz w:val="26"/>
        </w:rPr>
        <w:t>Đơn vị được Bộ, ngành giao nhiệm vụ tổ chức thẩm định điều chỉnh báo cáo nghiên cứu khả thi điều chỉnh;</w:t>
      </w:r>
    </w:p>
    <w:p>
      <w:pPr>
        <w:spacing w:after="0" w:before="0" w:lineRule="auto" w:line="276"/>
        <w:jc w:val="both"/>
      </w:pPr>
      <w:r>
        <w:rPr>
          <w:rFonts w:ascii="Times New Roman" w:hAnsi="Times New Roman" w:cs="Times New Roman" w:eastAsia="Times New Roman"/>
          <w:b w:val="false"/>
          <w:sz w:val="26"/>
        </w:rPr>
        <w:t xml:space="preserve"> Bộ, ngành phê duyệt báo cáo nghiên cứu khả thi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thẩm định báo cáo nghiên cứu khả thi gồm:  - Đối với dự án quan trọng quốc gia: Không quá 90 ngày; - Đối với dự án nhóm A: Không quá 40 ngày; - Đối với dự án nhóm B, nhóm C: Không quá 30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cơ quan của đơn vị thẩm định, cơ quan Nhà nước có thẩm quyền;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Hồ sơ trình phê duyệt báo cáo nghiên cứu khả thi của cơ quan, tổ chức thẩm định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khả thi;</w:t>
            </w:r>
          </w:p>
        </w:tc>
        <w:tc>
          <w:p/>
          <w:p>
            <w:pPr>
              <w:spacing w:after="0" w:before="0" w:lineRule="auto" w:line="276"/>
              <w:jc w:val="left"/>
            </w:pPr>
            <w:r>
              <w:rPr>
                <w:rFonts w:ascii="Times New Roman" w:hAnsi="Times New Roman" w:cs="Times New Roman" w:eastAsia="Times New Roman"/>
                <w:b w:val="false"/>
                <w:sz w:val="26"/>
              </w:rPr>
              <w:t>Phu luc IV_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dự án (trừ dự án nhóm C); báo cáo thẩm định nguồn vốn và khả năng cân đối vốn đối với dự án nhóm C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nghiên cứu khả thi do nhà đầu tư chuẩn bị gồm các thành phần hồ sơ tại mục (1); hồ sơ trình phê duyệt báo cáo nghiên cứu khả thi do tổ chức, đơn vị được giao thẩm định trình gồm các thành phần hồ sơ tại mục (2). Cụ thể: (1) Hồ sơ nhà đầu tư gửi cơ quan nhà nước có thẩm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Thủ tướng Chính phủ, Bộ trưởng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Thủ tướng Chính phủ, Bộ trưởng, Thủ trưởng cơ quan ngang bộ, cơ quan thuộc Chính phủ phê duyệt báo cáo nghiên cứu khả thi điều chỉnh dự án không thuộc trường hợp Thủ tướng Chính phủ phê duyệt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nghiên cứu khả thi điều chỉnh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Đầu tư công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63/2018/NĐ-CP ngày 04 tháng 5 năm 2018 của Chính phủ 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dự án BT,quy hoạch xây dựng tỷ lệ 1/2.000 hoặc 1/500 (nếu có) của quỹ đất dự kiến thanh toán cho nhà đầu tư phải được lập và phê duyệt theo quy định của pháp luật trước khi báo cáo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phê duyệt, báo cáo, nghiên cứu khả thi,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2026-05-22T16:50:25Z</dcterms:created>
  <dc:creator>Apache POI</dc:creator>
</cp:coreProperties>
</file>