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được giao lập Báo cáo nghiên cứu khả thi, gửi UBND cấp tỉnh;</w:t>
      </w:r>
    </w:p>
    <w:p>
      <w:pPr>
        <w:spacing w:after="0" w:before="0" w:lineRule="auto" w:line="276"/>
        <w:jc w:val="both"/>
      </w:pPr>
      <w:r>
        <w:rPr>
          <w:rFonts w:ascii="Times New Roman" w:hAnsi="Times New Roman" w:cs="Times New Roman" w:eastAsia="Times New Roman"/>
          <w:b w:val="false"/>
          <w:sz w:val="26"/>
        </w:rPr>
        <w:t>- Đơn vị được UBND cấp tỉnh giao nhiệm vụ tổ chức thẩm định Báo cáo nghiên cứu khả thi;</w:t>
      </w:r>
    </w:p>
    <w:p>
      <w:pPr>
        <w:spacing w:after="0" w:before="0" w:lineRule="auto" w:line="276"/>
        <w:jc w:val="both"/>
      </w:pPr>
      <w:r>
        <w:rPr>
          <w:rFonts w:ascii="Times New Roman" w:hAnsi="Times New Roman" w:cs="Times New Roman" w:eastAsia="Times New Roman"/>
          <w:b w:val="false"/>
          <w:sz w:val="26"/>
        </w:rPr>
        <w:t>- UBND cấp tỉnh phê duyệt Báo cáo nghiên cứu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thẩm định báo cáo nghiên cứu khả thi gồm: 
- Đối với dự án quan trọng quốc gia: Không quá 90 ngày;
- Đối với dự án nhóm A: Không quá 40 ngày;
- Đối với dự án nhóm B, nhóm C: Không quá 30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Hồ sơ trình phê duyệt báo cáo nghiên cứu khả thi của cơ quan, tổ chức thẩm định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do nhà đầu tư chuẩn bị gồm các thành phần hồ sơ tại mục (1); hồ sơ trình phê duyệt báo cáo nghiên cứu khả thi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2026-05-20T05:04:24Z</dcterms:created>
  <dc:creator>Apache POI</dc:creator>
</cp:coreProperties>
</file>