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ngành, nghề kinh doanh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thay đổi ngành, nghề kinh doanh, doanh nghiệp gửi hồ sơ thông báo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Sau khi tiếp nhận hồ sơ đăng ký doanh nghiệp, Cơ quan đăng ký kinh doanh cấp tỉnh trao giấy tiếp nhận hồ sơ và hẹn trả kết quả cho người nộp hồ sơ. Trong thời hạn 03 ngày làm việc kể từ ngày tiếp nhận hồ sơ, Cơ quan đăng ký kinh doanh cấp tỉnh xem xét tính hợp lệ của hồ sơ và xem xét điều kiện tiếp cận thị trường đối với các ngành, nghề hạn chế tiếp cận thị trường đối với nhà đầu tư nước ngoài theo quy định của pháp luật về đầu tư, cập nhật thông tin về ngành, nghề kinh doanh của doanh nghiệp trong Cơ sở dữ liệu quốc gia về đăng ký doanh nghiệp; trường hợp hồ sơ chưa hợp lệ, Cơ quan đăng ký kinh doanh cấp tỉnh thông báo bằng văn bản nội dung cần sửa đổi, bổ sung cho doanh nghiệp. Trường hợp doanh nghiệp có nhu cầu, Cơ quan đăng ký kinh doanh cấp tỉnh cấp Giấy xác nhận về việc thay đổi nội dung đăng ký doanh nghiệp cho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Đồng</w:t>
            </w:r>
          </w:p>
        </w:tc>
        <w:tc>
          <w:p/>
          <w:p>
            <w:pPr>
              <w:spacing w:after="0" w:before="0" w:lineRule="auto" w:line="276"/>
              <w:jc w:val="left"/>
            </w:pPr>
            <w:r>
              <w:rPr>
                <w:rFonts w:ascii="Times New Roman" w:hAnsi="Times New Roman" w:cs="Times New Roman" w:eastAsia="Times New Roman"/>
                <w:b w:val="false"/>
                <w:sz w:val="26"/>
              </w:rPr>
              <w:t>- Lệ phí: Không được quy định tại Biểu phí, lệ phí đăng ký doanh nghiệp ban hành kèm theo Thông tư số 47/2019/TT-BTC.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tc>
        <w:tc>
          <w:p/>
          <w:p>
            <w:pPr>
              <w:spacing w:after="0" w:before="0" w:lineRule="auto" w:line="276"/>
              <w:jc w:val="left"/>
            </w:pPr>
            <w:r>
              <w:rPr>
                <w:rFonts w:ascii="Times New Roman" w:hAnsi="Times New Roman" w:cs="Times New Roman" w:eastAsia="Times New Roman"/>
                <w:b w:val="false"/>
                <w:sz w:val="26"/>
              </w:rPr>
              <w:t>- Lệ phí: Không được quy định tại Biểu phí, lệ phí đăng ký doanh nghiệp ban hành kèm theo Thông tư số 47/2019/TT-BTC.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Đồng</w:t>
            </w:r>
          </w:p>
        </w:tc>
        <w:tc>
          <w:p/>
          <w:p>
            <w:pPr>
              <w:spacing w:after="0" w:before="0" w:lineRule="auto" w:line="276"/>
              <w:jc w:val="left"/>
            </w:pPr>
            <w:r>
              <w:rPr>
                <w:rFonts w:ascii="Times New Roman" w:hAnsi="Times New Roman" w:cs="Times New Roman" w:eastAsia="Times New Roman"/>
                <w:b w:val="false"/>
                <w:sz w:val="26"/>
              </w:rPr>
              <w:t>- Lệ phí: Không được quy định tại Biểu phí, lệ phí đăng ký doanh nghiệp ban hành kèm theo Thông tư số 47/2019/TT-BTC.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của chủ sở hữu công ty đối với công ty TNHH một thành viên; của Hội đồng thành viên đối với công ty TNHH hai thành viên trở lên, công ty hợp danh; của Đại hội đồng cổ đông đối với công ty cổ phần về việc thay đổi ngành, nghề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doanh nghiệp, Cơ quan đăng ký kinh doanh cấp tỉnh cập nhật thông tin về ngành, nghề kinh doanh của doanh nghiệp trong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ngành, nghề kinh doanh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2026-05-19T12:09:24Z</dcterms:created>
  <dc:creator>Apache POI</dc:creator>
</cp:coreProperties>
</file>