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xuất bản phụ trương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báo chí có đủ điều kiện theo quy định tại Điều 30 Luật báo chí có nhu cầu xuất bản thêm ấn phẩm báo chí.</w:t>
      </w:r>
    </w:p>
    <w:p>
      <w:pPr>
        <w:spacing w:after="0" w:before="0" w:lineRule="auto" w:line="276"/>
        <w:jc w:val="both"/>
      </w:pPr>
      <w:r>
        <w:rPr>
          <w:rFonts w:ascii="Times New Roman" w:hAnsi="Times New Roman" w:cs="Times New Roman" w:eastAsia="Times New Roman"/>
          <w:b w:val="false"/>
          <w:sz w:val="26"/>
        </w:rPr>
        <w:t>Trong thời hạn 30 ngày kể từ ngày nhận đủ hồ sơ hợp lệ, Cục Báo chí có trách nhiệm cấp giấy phép xuất bản phụ trương trường hợp từ chối cấp, Cục Báo chí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đầy đủ hồ sơ theo quy định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đầy đủ hồ sơ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cơ quan chủ quản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đề nghị cấp giấy phép xuất bản phụ trương;</w:t>
            </w:r>
          </w:p>
        </w:tc>
        <w:tc>
          <w:p/>
          <w:p>
            <w:pPr>
              <w:spacing w:after="0" w:before="0" w:lineRule="auto" w:line="276"/>
              <w:jc w:val="left"/>
            </w:pPr>
            <w:r>
              <w:rPr>
                <w:rFonts w:ascii="Times New Roman" w:hAnsi="Times New Roman" w:cs="Times New Roman" w:eastAsia="Times New Roman"/>
                <w:b w:val="false"/>
                <w:sz w:val="26"/>
              </w:rPr>
              <w:t>Mẫu 4 - Tờ khai đề nghị cấp GPXB ấn phẩm, phụ trương.doc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trình bày tên gọi của ấn phẩm có xác nhậ của cơ quan chủ quản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Sự cần thiết và cơ sở pháp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Trình bày việc đáp ứng đầy đủ các điều kiện quy định tại Điều 30 Luật báo chí và các tài liệu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cấu và các nội dung chính của ấn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Báo chí  Số 7 Yết Kiêu, Hai Bà Trưng,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bản phụ trương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07/2023/TT-BTTTT</w:t>
            </w:r>
          </w:p>
        </w:tc>
        <w:tc>
          <w:p/>
          <w:p>
            <w:pPr>
              <w:spacing w:after="0" w:before="0" w:lineRule="auto" w:line="276"/>
              <w:jc w:val="left"/>
            </w:pPr>
            <w:r>
              <w:rPr>
                <w:rFonts w:ascii="Times New Roman" w:hAnsi="Times New Roman" w:cs="Times New Roman" w:eastAsia="Times New Roman"/>
                <w:b w:val="false"/>
                <w:sz w:val="26"/>
              </w:rPr>
              <w:t>Thông tư số 07/2023/TT-BTTTT Sửa đổi, bổ sung Thông tư số 08/2020/TT-BTTTT ngày 13/4/2020 của Bộ trưởng Bộ Thông tin và Truyền thông Ban hành Danh mục và Quy trình kiểm định thiết bị viễn thông, đài vô tuyến điện bắt buộc kiểm định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103/2016/QH13	</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xuất bản phụ trương:
1. Có tôn chỉ, Mục đích phù hợp với tôn chỉ, Mục đích của cơ quan báo chí; đối tượng phục vụ; nơi đặt máy chủ và đơn vị cung cấp dịch vụ kết nối (đối với chuyên trang của báo điện tử) phù hợp với nội dung giấy phép hoạt động của cơ quan báo chí.
2. Có phương án về tổ chức và nhân sự bảo đảm hoạt động của ấn phẩm báo chí, phụ trương, kênh phát thanh, kênh truyền hình, chuyên trang của báo điện tử.
3. Có tên và hình thức trình bày tên ấn phẩm báo chí, phụ trương; tên và biểu tượng kênh phát thanh, kênh truyền hình; tên và giao diện trang chủ chuyên trang của báo điện tử.
4. Có các Điều kiện cơ sở vật chất, kỹ thuật; phương án tài chính; có các giải pháp kỹ thuật bảo đảm an toàn, an ninh thông tin; có tên miền cấp dưới phù hợp với tên miền đã đăng ký đối với chuyên trang của báo điện tử; có phương án, kế hoạch thuê hoặc sử dụng hạ tầng truyền dẫn, phát sóng đối với kênh phát thanh, kênh truyền hình.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2026-05-28T18:09:34Z</dcterms:created>
  <dc:creator>Apache POI</dc:creator>
</cp:coreProperties>
</file>