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vào mạng lưới tư vấn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tổ chức tư vấn gửi hồ sơ đăng ký tham gia mạng lưới đến bộ, cơ quan ngang bộ phù hợp để được công nhận. Các tài liệu bằng tiếng nước ngoài thì gửi bản dịch tiếng Việt có chứng thực.</w:t>
      </w:r>
    </w:p>
    <w:p>
      <w:pPr>
        <w:spacing w:after="0" w:before="0" w:lineRule="auto" w:line="276"/>
        <w:jc w:val="both"/>
      </w:pPr>
      <w:r>
        <w:rPr>
          <w:rFonts w:ascii="Times New Roman" w:hAnsi="Times New Roman" w:cs="Times New Roman" w:eastAsia="Times New Roman"/>
          <w:b w:val="false"/>
          <w:sz w:val="26"/>
        </w:rPr>
        <w:t>- Tư vấn viên truy cập vào Cổng thông tin, đăng ký và được Bộ Kế hoạch và và Đầu tư cấp tài khoản để cập nhật thông tin vào cơ sở dữ liệu mạng lưới tư vấn viên. Tư vấn viên chịu trách nhiệm toàn diện trước pháp luật về tính chính xác của thông tin được công khai trên Cổng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hồ sơ trực tiếp hoặc trực tuyến tới đơn vị được giao đầu mối tổ chức hoạt động mạng lưới tư vấn viên thuộc bộ, cơ quan ngang bộ.</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hồ sơ trực tuyến tới đơn vị được giao đầu mối tổ chức hoạt động mạng lưới tư vấn viên thuộc bộ, cơ quan ngang bộ.</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cá nhân tư vấn,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tham gia mạng lưới tư vấn viên;</w:t>
            </w:r>
          </w:p>
        </w:tc>
        <w:tc>
          <w:p/>
          <w:p>
            <w:pPr>
              <w:spacing w:after="0" w:before="0" w:lineRule="auto" w:line="276"/>
              <w:jc w:val="left"/>
            </w:pPr>
            <w:r>
              <w:rPr>
                <w:rFonts w:ascii="Times New Roman" w:hAnsi="Times New Roman" w:cs="Times New Roman" w:eastAsia="Times New Roman"/>
                <w:b w:val="false"/>
                <w:sz w:val="26"/>
              </w:rPr>
              <w:t>Dơn tham gia mang luoi TVV ca 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và hồ sơ tóm tắt năng lực;</w:t>
            </w:r>
          </w:p>
        </w:tc>
        <w:tc>
          <w:p/>
          <w:p>
            <w:pPr>
              <w:spacing w:after="0" w:before="0" w:lineRule="auto" w:line="276"/>
              <w:jc w:val="left"/>
            </w:pPr>
            <w:r>
              <w:rPr>
                <w:rFonts w:ascii="Times New Roman" w:hAnsi="Times New Roman" w:cs="Times New Roman" w:eastAsia="Times New Roman"/>
                <w:b w:val="false"/>
                <w:sz w:val="26"/>
              </w:rPr>
              <w:t>So yeu ly lic Ca 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văn bằng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các văn bản, giấy tờ có liên quan được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tổ chức tư vấn: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tham gia mạng lưới tư vấn viên;</w:t>
            </w:r>
          </w:p>
        </w:tc>
        <w:tc>
          <w:p/>
          <w:p>
            <w:pPr>
              <w:spacing w:after="0" w:before="0" w:lineRule="auto" w:line="276"/>
              <w:jc w:val="left"/>
            </w:pPr>
            <w:r>
              <w:rPr>
                <w:rFonts w:ascii="Times New Roman" w:hAnsi="Times New Roman" w:cs="Times New Roman" w:eastAsia="Times New Roman"/>
                <w:b w:val="false"/>
                <w:sz w:val="26"/>
              </w:rPr>
              <w:t>Dơn tham gia Mang lươi TVV to chuc.docx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doanh nghiệp hoặc Quyết định thành lập;</w:t>
            </w:r>
          </w:p>
        </w:tc>
        <w:tc>
          <w:p/>
          <w:p>
            <w:pPr>
              <w:spacing w:after="0" w:before="0" w:lineRule="auto" w:line="276"/>
              <w:jc w:val="left"/>
            </w:pPr>
            <w:r>
              <w:rPr>
                <w:rFonts w:ascii="Times New Roman" w:hAnsi="Times New Roman" w:cs="Times New Roman" w:eastAsia="Times New Roman"/>
                <w:b w:val="false"/>
                <w:sz w:val="26"/>
              </w:rPr>
              <w:t>Ho so nang luc cua to chuc.docx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tóm tắt năng lực; bản sao có chứng thực hồ sơ của các cá nhân tư vấn thuộc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các văn bản, giấy tờ chứng minh đủ điều kiện kinh doanh theo quy định của pháp luật (đối với doanh nghiệp kinh doanh ngành, nghề kinh doanh có điều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đầu mối thuộc bộ, cơ quan ngang bộ được giao tổ chức hoạt động mạng lưới tư vấn viên.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Tư vấn viên, tổ chức tư vấn được công nhận vào mạng lưới tư vấn viên và được công bố trên trang thông tin điện tử của Bộ, cơ quan ngang Bộ và Cổng thông tin quốc gia hỗ trợ DNNVV</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80/2021/NĐ-CP</w:t>
            </w:r>
          </w:p>
        </w:tc>
        <w:tc>
          <w:p/>
          <w:p>
            <w:pPr>
              <w:spacing w:after="0" w:before="0" w:lineRule="auto" w:line="276"/>
              <w:jc w:val="left"/>
            </w:pPr>
            <w:r>
              <w:rPr>
                <w:rFonts w:ascii="Times New Roman" w:hAnsi="Times New Roman" w:cs="Times New Roman" w:eastAsia="Times New Roman"/>
                <w:b w:val="false"/>
                <w:sz w:val="26"/>
              </w:rPr>
              <w:t>Nghị định số 80/2021/NĐ-CP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26-08-2021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06/2022/TT-BKHĐT</w:t>
            </w:r>
          </w:p>
        </w:tc>
        <w:tc>
          <w:p/>
          <w:p>
            <w:pPr>
              <w:spacing w:after="0" w:before="0" w:lineRule="auto" w:line="276"/>
              <w:jc w:val="left"/>
            </w:pPr>
            <w:r>
              <w:rPr>
                <w:rFonts w:ascii="Times New Roman" w:hAnsi="Times New Roman" w:cs="Times New Roman" w:eastAsia="Times New Roman"/>
                <w:b w:val="false"/>
                <w:sz w:val="26"/>
              </w:rPr>
              <w:t>HƯỚNG DẪN MỘT SỐ ĐIỀU CỦA NGHỊ ĐỊNH SỐ 80/2021/NĐ-CP NGÀY 26 THÁNG 8 NĂM 2021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10-05-2022</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vào mạng lưới tư vấn viên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Thủ tục, đăng ký, vào mạng lưới, tư vấn viên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2026-05-23T16:52:47Z</dcterms:created>
  <dc:creator>Apache POI</dc:creator>
</cp:coreProperties>
</file>