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chủ sở hữu công ty trách nhiệm hữu hạn một thành viên do tặng cho toàn bộ phần vốn góp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ty gửi Hồ sơ đăng ký thay đổi đến Phòng Đăng ký kinh doanh nơi công ty đã đăng ký.</w:t>
      </w:r>
    </w:p>
    <w:p>
      <w:pPr>
        <w:spacing w:after="0" w:before="0" w:lineRule="auto" w:line="276"/>
        <w:jc w:val="both"/>
      </w:pPr>
      <w:r>
        <w:rPr>
          <w:rFonts w:ascii="Times New Roman" w:hAnsi="Times New Roman" w:cs="Times New Roman" w:eastAsia="Times New Roman"/>
          <w:b w:val="false"/>
          <w:sz w:val="26"/>
        </w:rPr>
        <w:t>Khi nhận hồ sơ đăng ký thay đổi, Phòng Đăng ký kinh doanh trao Giấy biên nhận, kiểm tra tính hợp lệ của hồ sơ và cấp Giấy chứng nhận đăng ký doanh nghiệp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đồng/lần, nộp tại thời điểm nộp hồ sơ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Doanh nghiệp nộp hồ sơ đăng ký thay đổi nội dung Giấy chứng nhận đăng ký doanh nghiệp trực tiếp tại Phòng Đăng ký kinh doanh nơi doanh nghiệp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0 </w:t>
              <w:t xml:space="preserve">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Người đại diện theo pháp luật nộp hồ sơ đăng ký doanh nghiệp qua mạng điện tử theo quy trình trên Cổng thông tin quốc gia về đăng ký doanh nghiệp (https://dangkykinhdoanh.gov.vn)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đăng ký doanh nghiệp thì người được ủy quyền phải nộp bản sao hợp lệ một trong các giấy tờ chứng thực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kèm theo: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hợp lệ hợp đồng cung cấp dịch vụ với tổ chức làm dịch vụ thực hiện thủ tục liên quan đến đăng ký doanh nghiệp và giấy giới thiệu của tổ chức đó cho cá nhân trực tiếp thực hiện thủ tục liên quan đến đăng ký doanh nghiệp; hoặc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ủy quyền cho cá nhân thực hiện thủ tục liên quan đến đăng ký doanh nghiệp.  	Các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thay đổi chủ sở hữu công ty trách nhiệm hữu hạn một thành viên (Phụ lục II-4, Thông tư số 02/2019/TT-BKHĐT);</w:t>
            </w:r>
          </w:p>
        </w:tc>
        <w:tc>
          <w:p/>
          <w:p>
            <w:pPr>
              <w:spacing w:after="0" w:before="0" w:lineRule="auto" w:line="276"/>
              <w:jc w:val="left"/>
            </w:pPr>
            <w:r>
              <w:rPr>
                <w:rFonts w:ascii="Times New Roman" w:hAnsi="Times New Roman" w:cs="Times New Roman" w:eastAsia="Times New Roman"/>
                <w:b w:val="false"/>
                <w:sz w:val="26"/>
              </w:rPr>
              <w:t>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một trong những giấy tờ chứng thực cá nhân quy định tại Điều 10 Nghị định số 78/2015/NĐ-CP của người nhận chuyển nhượng trong trường hợp người nhận chuyển nhượng là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hoặc bản sao hợp lệ Giấy chứng nhận đăng ký doanh nghiệp hoặc giấy tờ tương đương khác trong trường hợp người nhận chuyển nhượng là tổ chức; Danh sách người đại diện theo ủy quyền, bản sao hợp lệ một trong những giấy tờ chứng thực cá nhân quy định tại Điều 10 Nghị định số 78/2015/NĐ-CP của người đại diện theo ủy quyền và văn bản ủy quyền của chủ sở hữu cho người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Điều lệ sửa đổi, bổ sung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tặng cho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Sở Kế hoạch và Đầu tư chấp thuận về việc góp vốn, mua cổ phần, phần vốn góp của nhà đầu tư nước ngoài đối với trường hợp quy định tại Khoản 1 Điều 26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hồ sơ đăng ký doanh nghiệp hợp lệ (có đầy đủ giấy tờ tương ứng đối với từng trường hợp như đã nêu tại Thành phần hồ sơ và nội dung các giấy tờ đó được kê khai đầy đủ theo quy định của pháp luật);
2. Nộp đủ lệ phí đăng ký doanh nghiệp theo quy định pháp luật về phí và lệ phí;
3. Doanh nghiệp không được thực hiện việc đăng ký thay đổi nội dung đăng ký doanh nghiệp trong các trường hợp sau:
a) Đã bị Phòng Đăng ký kinh doanh ra Thông báo về việc vi phạm của doanh nghiệp thuộc trường hợp thu hồi Giấy chứng nhận đăng ký doanh nghiệp hoặc đã bị ra Quyết định thu hồi Giấy chứng nhận đăng ký doanh nghiệp;
b) Đang trong quá trình giải thể theo quyết định giải thể của doanh nghiệp;
c) Theo yêu cầu của Tòa án hoặc Cơ quan thi hành án hoặc cơ quan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chủ sở hữu công ty trách nhiệm hữu hạn, một thành viên do tặng cho toàn bộ phần vốn góp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2026-05-12T01:39:13Z</dcterms:created>
  <dc:creator>Apache POI</dc:creator>
</cp:coreProperties>
</file>