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2.002017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Giấy chứng nhận đăng ký kinh doanh hoặc Giấy chứng nhận đăng ký kinh doanh và đăng ký thuế sang Giấy chứng nhận đăng ký doanh nghiệp nhưng không thay đổi nội dung đăng ký kinh doanh và đăng ký thuế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Người nộp hồ sơ đăng ký doanh nghiệp theo quy định tại Nghị định số 168/2025/NĐ-CP nộp hồ sơ tại Cơ quan đăng ký kinh doanh cấp tỉnh nơi doanh nghiệp đặt trụ sở chính.
Người thành lập doanh nghiệp hoặc doanh nghiệp có thể dừng thực hiện thủ tục đăng ký doanh nghiệp khi hồ sơ đăng ký doanh nghiệp chưa được chấp thuận trên Hệ thống thông tin quốc gia về đăng ký doanh nghiệp. Trong trường hợp này, người có thẩm quyền ký văn bản đề nghị đăng ký doanh nghiệp gửi văn bản đề nghị dừng thực hiện thủ tục đăng ký doanh nghiệp đến Cơ quan đăng ký kinh doanh cấp tỉnh nơi đã nộp hồ sơ. Cơ quan đăng ký kinh doanh cấp tỉnh xem xét, ra thông báo về việc dừng thực hiện thủ tục đăng ký doanh nghiệp cho doanh nghiệp và hủy hồ sơ đăng ký doanh nghiệp theo quy trình trên Hệ thống thông tin quốc gia về đăng ký doanh nghiệp trong thời hạn 03 ngày làm việc kể từ ngày nhận được văn bản đề nghị. Trường hợp từ chối dừng thực hiện thủ tục đăng ký doanh nghiệp, Cơ quan đăng ký kinh doanh cấp tỉnh ra thông báo bằng văn bản và nêu rõ lý do từ chối.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Sau khi hoàn thành việc gửi hồ sơ đăng ký doanh nghiệp, người nộp hồ sơ sẽ nhận được giấy tiếp nhận hồ sơ và hẹn trả kết quả điện tử qua tài khoản của người nộp hồ sơ.
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khi nhận đủ hồ sơ hợp lệ. </w:t>
            </w:r>
          </w:p>
        </w:tc>
        <w:tc>
          <w:p/>
          <w:p>
            <w:pPr>
              <w:spacing w:after="0" w:before="0" w:lineRule="auto" w:line="276"/>
              <w:jc w:val="left"/>
            </w:pPr>
            <w:r>
              <w:rPr>
                <w:rFonts w:ascii="Times New Roman" w:hAnsi="Times New Roman" w:cs="Times New Roman" w:eastAsia="Times New Roman"/>
                <w:b w:val="false"/>
                <w:sz w:val="26"/>
              </w:rPr>
              <w:t>Lệ phí : 25.000 Đồng</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Miễn lệ phí đối với trường hợp đăng ký qua mạng điện tử (Thông tư số 47/2019/TT-BTC).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khi nhận đủ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 đăng ký doanh nghiệp đối với trường hợp đăng ký qua mạng điện tử, đăng ký thành lập trên cơ sở chuyển đổi từ hộ kinh doanh (Thông tư số 47/2019/TT-BTC).)</w:t>
            </w:r>
          </w:p>
        </w:tc>
        <w:tc>
          <w:p/>
          <w:p>
            <w:pPr>
              <w:spacing w:after="0" w:before="0" w:lineRule="auto" w:line="276"/>
              <w:jc w:val="left"/>
            </w:pPr>
            <w:r>
              <w:rPr>
                <w:rFonts w:ascii="Times New Roman" w:hAnsi="Times New Roman" w:cs="Times New Roman" w:eastAsia="Times New Roman"/>
                <w:b w:val="false"/>
                <w:sz w:val="26"/>
              </w:rPr>
              <w:t>- Trực tuyến qua Cổng thông tin quốc gia về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25.000 Đồng</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Miễn lệ phí đối với trường hợp đăng ký qua mạng điện tử (Thông tư số 47/2019/TT-BTC).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Người ủy quyền và người được ủy quyền thực hiện thủ tục đăng ký doanh nghiệp chịu trách nhiệm trước pháp luật về tính hợp pháp, trung thực và chính xác của việc ủy quyền.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Trường hợp người ủy quyền không xác nhận hoặc xác nhận không ủy quyền thực hiện thủ tục đăng ký doanh nghiệp thì Cơ quan đăng ký kinh doanh cấp tỉnh yêu cầu doanh nghiệp báo cáo theo quy định tại khoản 5 Điều 21 Nghị định số 168/2025/NĐ-CP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Yêu cầu doanh nghiệp báo cáo về việc tuân thủ các quy định của Luật Doanh nghiệp theo quy định tại điểm c khoản 1 Điều 216 Luật Doanh nghiệp “Yêu cầu doanh nghiệp báo cáo về việc tuân thủ quy định của Luật này khi xét thấy cần thiết; đôn đốc việc thực hiện nghĩa vụ báo cáo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Thông báo lập địa điểm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lập địa điểm kinh doanh.</w:t>
            </w:r>
          </w:p>
        </w:tc>
        <w:tc>
          <w:p/>
          <w:p>
            <w:pPr>
              <w:spacing w:after="0" w:before="0" w:lineRule="auto" w:line="276"/>
              <w:jc w:val="left"/>
            </w:pPr>
            <w:r>
              <w:rPr>
                <w:rFonts w:ascii="Times New Roman" w:hAnsi="Times New Roman" w:cs="Times New Roman" w:eastAsia="Times New Roman"/>
                <w:b w:val="false"/>
                <w:sz w:val="26"/>
              </w:rPr>
              <w:t>Mauso17GiynghngkhotngchinhnhorvnphngidinorThngbolpaimkinhdoanh.docx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Giấy đề nghị cấp đổi Giấy chứng nhận đăng ký doanh nghiệp.</w:t>
            </w:r>
          </w:p>
        </w:tc>
        <w:tc>
          <w:p/>
          <w:p>
            <w:pPr>
              <w:spacing w:after="0" w:before="0" w:lineRule="auto" w:line="276"/>
              <w:jc w:val="left"/>
            </w:pPr>
            <w:r>
              <w:rPr>
                <w:rFonts w:ascii="Times New Roman" w:hAnsi="Times New Roman" w:cs="Times New Roman" w:eastAsia="Times New Roman"/>
                <w:b w:val="false"/>
                <w:sz w:val="26"/>
              </w:rPr>
              <w:t>Mauso21GiynghcpisangGiychngnhnngkdoanhnghipividoanhnghipccpGiychngnhnngkkinhdoanhhocGiychngnhnngkkinhdoanhvngkthu.docx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Thông báo tạm ngừng kinh doanh của doanh nghiệp, chi nhánh, địa điểm kinh doanh, tạm ngừng hoạt động của văn phòng đại diện: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tạm ngừng kinh doanh, tạm ngừng hoạt động;</w:t>
            </w:r>
          </w:p>
        </w:tc>
        <w:tc>
          <w:p/>
          <w:p>
            <w:pPr>
              <w:spacing w:after="0" w:before="0" w:lineRule="auto" w:line="276"/>
              <w:jc w:val="left"/>
            </w:pPr>
            <w:r>
              <w:rPr>
                <w:rFonts w:ascii="Times New Roman" w:hAnsi="Times New Roman" w:cs="Times New Roman" w:eastAsia="Times New Roman"/>
                <w:b w:val="false"/>
                <w:sz w:val="26"/>
              </w:rPr>
              <w:t>mauso27Thngbovvictmngngkinhdoanhortiptckinhdoanhtrcthihnthngbocadoanhnghiporchinhnhoraimkinhdoanh.docx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Bản sao hoặc bản chính nghị quyết hoặc quyết định của chủ sở hữu công ty đối với công ty TNHH một thành viên; của Hội đồng thành viên đối với công ty TNHH hai thành viên trở lên, công ty hợp danh; của Hội đồng quản trị đối với công ty cổ phần về việc tạm ngừng kinh doanh trong trường hợp thông báo tạm ngừng kinh doanh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Giấy đề nghị cấp đổi Giấy chứng nhận đăng ký doanh nghiệp</w:t>
            </w:r>
          </w:p>
        </w:tc>
        <w:tc>
          <w:p/>
          <w:p>
            <w:pPr>
              <w:spacing w:after="0" w:before="0" w:lineRule="auto" w:line="276"/>
              <w:jc w:val="left"/>
            </w:pPr>
            <w:r>
              <w:rPr>
                <w:rFonts w:ascii="Times New Roman" w:hAnsi="Times New Roman" w:cs="Times New Roman" w:eastAsia="Times New Roman"/>
                <w:b w:val="false"/>
                <w:sz w:val="26"/>
              </w:rPr>
              <w:t>Mauso21GiynghcpisangGiychngnhnngkdoanhnghipividoanhnghipccpGiychngnhnngkkinhdoanhhocGiychngnhnngkkinhdoanhvngkthu.docx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Tiếp tục kinh doanh, tiếp tục hoạt động trước thời hạn đã thông báo của doanh nghiệp, chi nhánh, văn phòng đại diện, địa điểm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tiếp tục kinh doanh trước thời hạn đã thông báo;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Giấy đề nghị cấp đổi Giấy chứng nhận đăng ký doanh nghiệp.</w:t>
            </w:r>
          </w:p>
        </w:tc>
        <w:tc>
          <w:p/>
          <w:p>
            <w:pPr>
              <w:spacing w:after="0" w:before="0" w:lineRule="auto" w:line="276"/>
              <w:jc w:val="left"/>
            </w:pPr>
            <w:r>
              <w:rPr>
                <w:rFonts w:ascii="Times New Roman" w:hAnsi="Times New Roman" w:cs="Times New Roman" w:eastAsia="Times New Roman"/>
                <w:b w:val="false"/>
                <w:sz w:val="26"/>
              </w:rPr>
              <w:t>Mauso21GiynghcpisangGiychngnhnngkdoanhnghipividoanhnghipccpGiychngnhnngkkinhdoanhhocGiychngnhnngkkinhdoanhvngkthu.docx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cá nhân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tổ chức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đơn vị cung cấp dịch vụ bưu chính công ích thực hiện thủ tục đăng ký doanh nghiệp thì khi thực hiện thủ tục đăng ký doanh nghiệp, nhân viên bưu chính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Đăng ký hoạt động đối với chi nhánh, văn phòng đại diện: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thành lập chi nhánh, văn phòng đại diện;</w:t>
            </w:r>
          </w:p>
        </w:tc>
        <w:tc>
          <w:p/>
          <w:p>
            <w:pPr>
              <w:spacing w:after="0" w:before="0" w:lineRule="auto" w:line="276"/>
              <w:jc w:val="left"/>
            </w:pPr>
            <w:r>
              <w:rPr>
                <w:rFonts w:ascii="Times New Roman" w:hAnsi="Times New Roman" w:cs="Times New Roman" w:eastAsia="Times New Roman"/>
                <w:b w:val="false"/>
                <w:sz w:val="26"/>
              </w:rPr>
              <w:t>Mauso17GiynghngkhotngchinhnhorvnphngidinorThngbolpaimkinhdoanh.docx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Bản sao quyết định thành lập và bản sao biên bản họp về việc thành lập chi nhánh, văn phòng đại diện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Bản sao giấy tờ pháp lý của cá nhân đối với người đứng đầu chi nhánh, văn phòng đại diện; Trường hợp kê khai số định danh cá nhân của người đứng đầu chi nhánh, văn phòng đại diện theo quy định tại khoản 1 Điều 11 Nghị định số 168/2025/NĐ-CP thì hồ sơ đăng ký hoạt động chi nhánh, văn phòng đại diện không bao gồm bản sao giấy tờ pháp lý của cá nhân đối với người đứng đầu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Bản sao quyết định và bản sao biên bản họp của Hội đồng thành viên đối với công ty TNHH hai thành viên trở lên, công ty hợp danh; Bản sao quyết định và bản sao biên bản họp của Hội đồng quản trị đối với công ty cổ phần; Bản sao quyết định của chủ sở hữu công ty đối với công ty TNHH một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Giấy đề nghị cấp đổi Giấy chứng nhận đăng ký doanh nghiệp. Trường hợp kê khai số định danh cá nhân của người đứng đầu chi nhánh, văn phòng đại diện theo quy định tại khoản 1 Điều 11 Nghị định số 168/2025/NĐ-CP thì hồ sơ đăng ký hoạt động chi nhánh, văn phòng đại diện không bao gồm bản sao giấy tờ pháp lý của cá nhân đối với người đứng đầu chi nhánh, văn phòng đại diện.</w:t>
            </w:r>
          </w:p>
        </w:tc>
        <w:tc>
          <w:p/>
          <w:p>
            <w:pPr>
              <w:spacing w:after="0" w:before="0" w:lineRule="auto" w:line="276"/>
              <w:jc w:val="left"/>
            </w:pPr>
            <w:r>
              <w:rPr>
                <w:rFonts w:ascii="Times New Roman" w:hAnsi="Times New Roman" w:cs="Times New Roman" w:eastAsia="Times New Roman"/>
                <w:b w:val="false"/>
                <w:sz w:val="26"/>
              </w:rPr>
              <w:t>Mauso21GiynghcpisangGiychngnhnngkdoanhnghipividoanhnghipccpGiychngnhnngkkinhdoanhhocGiychngnhnngkkinhdoanhvngkthu.docx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Đăng ký thay đổi nội dung đăng ký hoạt động chi nhánh, văn phòng đại diện, địa điểm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hoạt động chi nhánh, văn phòng đại diện, địa điểm kinh doanh.</w:t>
            </w:r>
          </w:p>
        </w:tc>
        <w:tc>
          <w:p/>
          <w:p>
            <w:pPr>
              <w:spacing w:after="0" w:before="0" w:lineRule="auto" w:line="276"/>
              <w:jc w:val="left"/>
            </w:pPr>
            <w:r>
              <w:rPr>
                <w:rFonts w:ascii="Times New Roman" w:hAnsi="Times New Roman" w:cs="Times New Roman" w:eastAsia="Times New Roman"/>
                <w:b w:val="false"/>
                <w:sz w:val="26"/>
              </w:rPr>
              <w:t>mauso19Giynghngkthayinidungngkhotngchinhnhorvnphngidinoraimkinhdoanh.docx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Giấy đề nghị cấp đổi Giấy chứng nhận đăng ký doanh nghiệp. Sau khi công ty TNHH được chuyển đổi thành công ty cổ phần và ngược lại, doanh nghiệp tư nhân được chuyển đổi thành công ty TNHH, công ty cổ phần, công ty hợp danh thì các chi nhánh, văn phòng đại diện, địa điểm kinh doanh của những doanh nghiệp nêu trên thực hiện đăng ký thay đổi nội dung đăng ký hoạt động theo quy định tại Điều 56 Nghị định số 168/2025/NĐ-CP.</w:t>
            </w:r>
          </w:p>
        </w:tc>
        <w:tc>
          <w:p/>
          <w:p>
            <w:pPr>
              <w:spacing w:after="0" w:before="0" w:lineRule="auto" w:line="276"/>
              <w:jc w:val="left"/>
            </w:pPr>
            <w:r>
              <w:rPr>
                <w:rFonts w:ascii="Times New Roman" w:hAnsi="Times New Roman" w:cs="Times New Roman" w:eastAsia="Times New Roman"/>
                <w:b w:val="false"/>
                <w:sz w:val="26"/>
              </w:rPr>
              <w:t>Mauso21GiynghcpisangGiychngnhnngkdoanhnghipividoanhnghipccpGiychngnhnngkkinhdoanhhocGiychngnhnngkkinhdoanhvngkthu.docx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chưa có tài khoản định danh điện tử để thực hiện xác thực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Đăng ký chấm dứt hoạt động chi nhánh, văn phòng đại diện, địa điểm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về việc chấm dứt hoạt động chi nhánh, văn phòng đại diện, địa điểm kinh doanh.</w:t>
            </w:r>
          </w:p>
        </w:tc>
        <w:tc>
          <w:p/>
          <w:p>
            <w:pPr>
              <w:spacing w:after="0" w:before="0" w:lineRule="auto" w:line="276"/>
              <w:jc w:val="left"/>
            </w:pPr>
            <w:r>
              <w:rPr>
                <w:rFonts w:ascii="Times New Roman" w:hAnsi="Times New Roman" w:cs="Times New Roman" w:eastAsia="Times New Roman"/>
                <w:b w:val="false"/>
                <w:sz w:val="26"/>
              </w:rPr>
              <w:t>mauso27Thngbovvictmngngkinhdoanhortiptckinhdoanhtrcthihnthngbocadoanhnghiporchinhnhoraimkinhdoanh.docx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Bản sao hoặc bản chính nghị quyết hoặc quyết định về việc chấm dứt hoạt động chi nhánh, văn phòng đại diện của chủ sở hữu đối với công ty TNHH một thành viên; của Hội đồng thành viên đối với công ty TNHH hai thành viên trở lên, công ty hợp danh; của Hội đồng quản trị đối với công ty cổ phần trong trường hợp chấm dứt hoạt động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cấp đổi Giấy chứng nhận đăng ký doanh nghiệp</w:t>
            </w:r>
          </w:p>
        </w:tc>
        <w:tc>
          <w:p/>
          <w:p>
            <w:pPr>
              <w:spacing w:after="0" w:before="0" w:lineRule="auto" w:line="276"/>
              <w:jc w:val="left"/>
            </w:pPr>
            <w:r>
              <w:rPr>
                <w:rFonts w:ascii="Times New Roman" w:hAnsi="Times New Roman" w:cs="Times New Roman" w:eastAsia="Times New Roman"/>
                <w:b w:val="false"/>
                <w:sz w:val="26"/>
              </w:rPr>
              <w:t>Mauso21GiynghcpisangGiychngnhnngkdoanhnghipividoanhnghipccpGiychngnhnngkkinhdoanhhocGiychngnhnngkkinhdoanhvngkthu.docx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Giấy chứng nhận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Doanh nghiệp số 59/2020/QH14 đã được sửa đổi, bổ sung một số điều theo Luật số 03/2022/QH15.</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của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đổi Giấy chứng nhận, đăng ký kinh doanh hoặc, Giấy chứng nhận đăng ký kinh doanh, và đăng ký thuế, sang Giấy chứng nhận, đăng ký doanh nghiệp, nhưng không thay đổi nội dung đăng ký kinh doanh và đăng ký thuế</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2026-04-29T04:45:24Z</dcterms:created>
  <dc:creator>Apache POI</dc:creator>
</cp:coreProperties>
</file>