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hợp đồng lao động trực tiếp giao kết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nộp 01 (một) bộ hồ sơ trực tiếp hoặc qua dịch vụ bưu chính tới Cơ quan chuyên môn về lao động thuộc Ủy ban nhân dân cấp tỉnh;
- Bước 2. Trong thời hạn 05 ngày làm việc kể từ ngày nhận đủ hồ sơ hợp lệ, cơ quan chuyên môn về lao động thuộc Ủy ban nhân dân cấp tỉnh xác nhận bằng văn bản việc đăng ký hợp đồng lao động cho người lao động; trường hợp không chấp thuận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đăng ký theo Mẫu số 03a Phụ lục;</w:t>
            </w:r>
          </w:p>
        </w:tc>
        <w:tc>
          <w:p/>
          <w:p>
            <w:pPr>
              <w:spacing w:after="0" w:before="0" w:lineRule="auto" w:line="276"/>
              <w:jc w:val="left"/>
            </w:pPr>
            <w:r>
              <w:rPr>
                <w:rFonts w:ascii="Times New Roman" w:hAnsi="Times New Roman" w:cs="Times New Roman" w:eastAsia="Times New Roman"/>
                <w:b w:val="false"/>
                <w:sz w:val="26"/>
              </w:rPr>
              <w:t>1.Mus03aPhlc.docx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lao động kèm theo bản dịch tiếng Việt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minh nhân dân, thẻ Căn cước công dân hoặc Hộ chiếu của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Sơ yếu lý lịch có xác nhận của Ủy ban nhân dân cấp xã nơi người lao động thường trú hoặc cơ quan, tổ chức, đơn vị quản lý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21/2021/TT-BLĐTBXH</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20/2021/TT-BLĐTBXH</w:t>
            </w:r>
          </w:p>
        </w:tc>
        <w:tc>
          <w:p/>
          <w:p>
            <w:pPr>
              <w:spacing w:after="0" w:before="0" w:lineRule="auto" w:line="276"/>
              <w:jc w:val="left"/>
            </w:pPr>
            <w:r>
              <w:rPr>
                <w:rFonts w:ascii="Times New Roman" w:hAnsi="Times New Roman" w:cs="Times New Roman" w:eastAsia="Times New Roman"/>
                <w:b w:val="false"/>
                <w:sz w:val="26"/>
              </w:rPr>
              <w:t>QUY ĐỊNH VỀ HỆ THỐNG CƠ SỞ DỮ LIỆU VỀ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Việt Nam đi làm việc ở nước ngoài theo hợp đồng lao động trực tiếp giao kết đáp ứng các điều kiện:
a)  Các điều kiện quy định tại các khoản 1, 2, 3, 4 và 6 Điều 44 của Luật Người lao động Việt Nam đi làm việc ở nước ngoài theo hợp đồng, cụ thể gồm: Có năng lực hành vi dân sự đầy đủ; tự nguyện đi làm việc ở nước ngoài; đủ sức khoẻ theo quy định của pháp luật Việt Nam và yêu cầu của nước tiếp nhận lao động; đáp ứng yêu cầu về trình độ ngoại ngữ, chuyên môn, trình độ, kỹ năng nghề và các điều kiện khác theo yêu cầu của nước tiếp nhận lao động; không thuộc trường hợp bị cấm xuất cảnh, không được xuất cảnh, bị tạm hoãn xuất cảnh theo quy định của pháp luật Việt Nam;
b) Có hợp đồng lao động theo quy định tại Điều 52 của Luật Người lao động Việt Nam đi làm việc ở nước ngoài theo hợp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2026-05-22T19:38:00Z</dcterms:created>
  <dc:creator>Apache POI</dc:creator>
</cp:coreProperties>
</file>