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công ty trách nhiệm hữu hạn hai thành viên trở lên từ việc chia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Hội đồng thành viên của công ty bị chia thông qua nghị quyết chia công ty theo quy định của Luật Doanh nghiệp và Điều lệ công ty. Nghị quyết chia công ty phải được gửi đến tất cả các chủ nợ và thông báo cho người lao động biết.</w:t>
      </w:r>
    </w:p>
    <w:p>
      <w:pPr>
        <w:spacing w:after="0" w:before="0" w:lineRule="auto" w:line="276"/>
        <w:jc w:val="both"/>
      </w:pPr>
      <w:r>
        <w:rPr>
          <w:rFonts w:ascii="Times New Roman" w:hAnsi="Times New Roman" w:cs="Times New Roman" w:eastAsia="Times New Roman"/>
          <w:b w:val="false"/>
          <w:sz w:val="26"/>
        </w:rPr>
        <w:t>- Các thành viên của công ty mới được thành lập thông qua Điều lệ, bầu hoặc bổ nhiệm Chủ tịch Hội đồng thành viên, Giám đốc hoặc Tổng giám đốc và tiến hành đăng ký doanh nghiệp theo quy định của Luật Doanh nghiệp.</w:t>
      </w:r>
    </w:p>
    <w:p>
      <w:pPr>
        <w:spacing w:after="0" w:before="0" w:lineRule="auto" w:line="276"/>
        <w:jc w:val="both"/>
      </w:pPr>
      <w:r>
        <w:rPr>
          <w:rFonts w:ascii="Times New Roman" w:hAnsi="Times New Roman" w:cs="Times New Roman" w:eastAsia="Times New Roman"/>
          <w:b w:val="false"/>
          <w:sz w:val="26"/>
        </w:rPr>
        <w:t>- Công ty bị chia chấm dứt tồn tại sau khi các công ty mới được cấp Giấy chứng nhận đăng ký doanh nghiệp. Các công ty mới phải cùng liên đới chịu trách nhiệm về các khoản nợ chưa thanh toán, hợp đồng lao động và nghĩa vụ tài sản khác của công ty bị chia hoặc thỏa thuận với chủ nợ, khách hàng và người lao động để một trong số các công ty đó thực hiện các nghĩa vụ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(- 50.000 đồng/lần, nộp tại thời điểm nộp trực tiếp hồ sơ (Thông tư số 47/2019/TT-BTC).)</w:t>
              <w:br/>
              <w:t>File đính kèm: 47-BTC.signed.pdf</w:t>
            </w:r>
          </w:p>
        </w:tc>
        <w:tc>
          <w:p/>
          <w:p>
            <w:pPr>
              <w:spacing w:after="0" w:before="0" w:lineRule="auto" w:line="276"/>
              <w:jc w:val="left"/>
            </w:pPr>
            <w:r>
              <w:rPr>
                <w:rFonts w:ascii="Times New Roman" w:hAnsi="Times New Roman" w:cs="Times New Roman" w:eastAsia="Times New Roman"/>
                <w:b w:val="false"/>
                <w:sz w:val="26"/>
              </w:rPr>
              <w:t>Doanh nghiệp hoặc người đại diện theo ủy quyền trực tiếp nộp hồ sơ tại Phòng Đăng ký kinh doanh nơi doanh nghiệp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Miễn lệ phí đối với trường hợp đăng ký qua mạng điện tử (Thông tư số 47/2019/TT-BTC).)</w:t>
            </w:r>
          </w:p>
        </w:tc>
        <w:tc>
          <w:p/>
          <w:p>
            <w:pPr>
              <w:spacing w:after="0" w:before="0" w:lineRule="auto" w:line="276"/>
              <w:jc w:val="left"/>
            </w:pPr>
            <w:r>
              <w:rPr>
                <w:rFonts w:ascii="Times New Roman" w:hAnsi="Times New Roman" w:cs="Times New Roman" w:eastAsia="Times New Roman"/>
                <w:b w:val="false"/>
                <w:sz w:val="26"/>
              </w:rPr>
              <w:t>Nộp hồ sơ đăng ký doanh nghiệp qua mạng điện tử theo quy trình trên Cổng thông tin quốc gia về đăng ký doanh nghiệp (https://dangkykinhdoanh.gov.vn)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lệ biên bản họp Hội đồng thành viên về việc chia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Nghị quyết chia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Giấy chứng nhận đăng ký doanh nghiệp hoặc giấy tờ tương đương khác của công ty bị chia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đăng ký doanh nghiệp của công ty trách nhiệm hữu hạn hai thành viên trở lên cho (các) công ty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đăng ký công ty trách nhiệm hữu hạn hai thành viên trở lên (Phụ lục I-3, Thông tư số 02/2019/TT-BKHĐT);</w:t>
            </w:r>
          </w:p>
        </w:tc>
        <w:tc>
          <w:p/>
          <w:p>
            <w:pPr>
              <w:spacing w:after="0" w:before="0" w:lineRule="auto" w:line="276"/>
              <w:jc w:val="left"/>
            </w:pPr>
            <w:r>
              <w:rPr>
                <w:rFonts w:ascii="Times New Roman" w:hAnsi="Times New Roman" w:cs="Times New Roman" w:eastAsia="Times New Roman"/>
                <w:b w:val="false"/>
                <w:sz w:val="26"/>
              </w:rPr>
              <w:t>I-3.docx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thành viên công ty TNHH hai thành viên trở lên (Phụ lục I-6, Thông tư số 02/2019/TT-BKHĐT).</w:t>
            </w:r>
          </w:p>
        </w:tc>
        <w:tc>
          <w:p/>
          <w:p>
            <w:pPr>
              <w:spacing w:after="0" w:before="0" w:lineRule="auto" w:line="276"/>
              <w:jc w:val="left"/>
            </w:pPr>
            <w:r>
              <w:rPr>
                <w:rFonts w:ascii="Times New Roman" w:hAnsi="Times New Roman" w:cs="Times New Roman" w:eastAsia="Times New Roman"/>
                <w:b w:val="false"/>
                <w:sz w:val="26"/>
              </w:rPr>
              <w:t>I-6.docx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nghiệp/Thông báo về việc sửa đổi, bổ sung hồ sơ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w:t>
            </w:r>
          </w:p>
        </w:tc>
        <w:tc>
          <w:p/>
          <w:p>
            <w:pPr>
              <w:spacing w:after="0" w:before="0" w:lineRule="auto" w:line="276"/>
              <w:jc w:val="left"/>
            </w:pPr>
            <w:r>
              <w:rPr>
                <w:rFonts w:ascii="Times New Roman" w:hAnsi="Times New Roman" w:cs="Times New Roman" w:eastAsia="Times New Roman"/>
                <w:b w:val="false"/>
                <w:sz w:val="26"/>
              </w:rPr>
              <w:t>Thông tư 02/2019/TT-BKHĐT</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Thông tư số 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hồ sơ hợp lệ (có đầy đủ giấy tờ như đã nêu tại Thành phần hồ sơ và nội dung các giấy tờ đó được kê khai đầy đủ theo quy định của pháp luật).
2. Nộp đủ lệ phí đăng ký doanh nghiệp theo quy định pháp luật về phí và lệ phí.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công ty trách nhiệm hữu hạn, hai thành viên trở lên, từ việc chia doanh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2026-05-20T05:20:54Z</dcterms:created>
  <dc:creator>Apache POI</dc:creator>
</cp:coreProperties>
</file>