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2.002046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1036/QĐ-BTC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đăng ký đầu tư ra nước ngoài đối với dự án thuộc thẩm quyền chấp thuận chủ trương đầu tư ra nước ngoài của Thủ tướng Chính phủ</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Đầu tư từ Việt nam ra nước ngoài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Nhà đầu tư nộp hồ sơ đề nghị cấp Giấy chứng nhận đăng ký đầu tư ra nước ngoài cho Bộ Kế hoạch và Đầu tư; đồng thời đăng ký thông tin đầu tư trên Hệ thống thông tin quốc gia về đầu tư.</w:t>
      </w:r>
    </w:p>
    <w:p>
      <w:pPr>
        <w:spacing w:after="0" w:before="0" w:lineRule="auto" w:line="276"/>
        <w:jc w:val="both"/>
      </w:pPr>
      <w:r>
        <w:rPr>
          <w:rFonts w:ascii="Times New Roman" w:hAnsi="Times New Roman" w:cs="Times New Roman" w:eastAsia="Times New Roman"/>
          <w:b w:val="false"/>
          <w:sz w:val="26"/>
        </w:rPr>
        <w:t>- Hồ sơ được Bộ Kế hoạch và Đầu tư tiếp nhận khi có đầy đủ đầu mục tài liệu.Bộ Kế hoạch và Đầu tư kiểm tra tính hợp lệ của hồ sơ. Trường hợp hồ sơ không hợp lệ hoặc có nội dung cần phải làm rõ, Bộ Kế hoạch và Đầu tư thông báo bằng văn bản cho nhà đầu tư để hoàn thiện hồ sơ.</w:t>
      </w:r>
    </w:p>
    <w:p>
      <w:pPr>
        <w:spacing w:after="0" w:before="0" w:lineRule="auto" w:line="276"/>
        <w:jc w:val="both"/>
      </w:pPr>
      <w:r>
        <w:rPr>
          <w:rFonts w:ascii="Times New Roman" w:hAnsi="Times New Roman" w:cs="Times New Roman" w:eastAsia="Times New Roman"/>
          <w:b w:val="false"/>
          <w:sz w:val="26"/>
        </w:rPr>
        <w:t>- Bộ Kế hoạch và Đầu tư gửi hồ sơ lấy ý kiến thẩm định của Bộ Tài chính, Bộ Lao động - Thương binh và Xã hội, Bộ quản lý ngành, Ngân hàng Nhà nước Việt Nam và Ủy ban nhân dân tỉnh, thành phố trực thuộc Trung ương nơi nhà đầu tư đặt trụ sở chính.</w:t>
      </w:r>
    </w:p>
    <w:p>
      <w:pPr>
        <w:spacing w:after="0" w:before="0" w:lineRule="auto" w:line="276"/>
        <w:jc w:val="both"/>
      </w:pPr>
      <w:r>
        <w:rPr>
          <w:rFonts w:ascii="Times New Roman" w:hAnsi="Times New Roman" w:cs="Times New Roman" w:eastAsia="Times New Roman"/>
          <w:b w:val="false"/>
          <w:sz w:val="26"/>
        </w:rPr>
        <w:t>- Cơ quan được lấy ý kiến phải có ý kiến bằng văn bản về những nội dung thuộc thẩm quyền quản lý nhà nước được phân công, gửi về Bộ Kế hoạch và Đầu tư.</w:t>
      </w:r>
    </w:p>
    <w:p>
      <w:pPr>
        <w:spacing w:after="0" w:before="0" w:lineRule="auto" w:line="276"/>
        <w:jc w:val="both"/>
      </w:pPr>
      <w:r>
        <w:rPr>
          <w:rFonts w:ascii="Times New Roman" w:hAnsi="Times New Roman" w:cs="Times New Roman" w:eastAsia="Times New Roman"/>
          <w:b w:val="false"/>
          <w:sz w:val="26"/>
        </w:rPr>
        <w:t>- Bộ Kế hoạch và Đầu tư tổ chức thẩm định và lập báo cáo thẩm định trình Thủ tướng Chính phủ theo nội dung quy định tại khoản 3 Điều 57 của Luật Đầu tư.</w:t>
      </w:r>
    </w:p>
    <w:p>
      <w:pPr>
        <w:spacing w:after="0" w:before="0" w:lineRule="auto" w:line="276"/>
        <w:jc w:val="both"/>
      </w:pPr>
      <w:r>
        <w:rPr>
          <w:rFonts w:ascii="Times New Roman" w:hAnsi="Times New Roman" w:cs="Times New Roman" w:eastAsia="Times New Roman"/>
          <w:b w:val="false"/>
          <w:sz w:val="26"/>
        </w:rPr>
        <w:t>-  Thủ tướng Chính phủ quyết định chủ trương đầu tư ra nước ngoài theo các nội dung quy định tại khoản 5 Điều 58 của Luật Đầu tư.</w:t>
      </w:r>
    </w:p>
    <w:p>
      <w:pPr>
        <w:spacing w:after="0" w:before="0" w:lineRule="auto" w:line="276"/>
        <w:jc w:val="both"/>
      </w:pPr>
      <w:r>
        <w:rPr>
          <w:rFonts w:ascii="Times New Roman" w:hAnsi="Times New Roman" w:cs="Times New Roman" w:eastAsia="Times New Roman"/>
          <w:b w:val="false"/>
          <w:sz w:val="26"/>
        </w:rPr>
        <w:t>- Đối với dự án đầu tư ra nước ngoài của doanh nghiệp do nhà nước nắm giữ 100% vốn điều lệ, sau khi có quyết định chủ trương đầu tư ra nước ngoài, cơ quan đại diện chủ sở hữu quyết định đầu tư ra nước ngoài theo quy định tại Điều 29 của Luật Quản lý, sử dụng vốn nhà nước đầu tư vào sản xuất, kinh doanh tại doanh nghiệp.</w:t>
      </w:r>
    </w:p>
    <w:p>
      <w:pPr>
        <w:spacing w:after="0" w:before="0" w:lineRule="auto" w:line="276"/>
        <w:jc w:val="both"/>
      </w:pPr>
      <w:r>
        <w:rPr>
          <w:rFonts w:ascii="Times New Roman" w:hAnsi="Times New Roman" w:cs="Times New Roman" w:eastAsia="Times New Roman"/>
          <w:b w:val="false"/>
          <w:sz w:val="26"/>
        </w:rPr>
        <w:t>- Khi nhận được quyết định chủ trương đầu tư ra nước ngoài của Thủ tướng Chính phủ và quyết định đầu tư ra nước ngoài của cơ quan đại diện chủ sở hữu đối với daonh nghiệp do nhà nước nắm giữ 100% vốn điều lệ, Bộ Kế hoạch và Đầu tư cấp Giấy chứng nhận đăng ký đầu tư ra nước ngoài cho nhà đầu tư, đồng thời sao gửi  Bộ Tài chính, Bộ Ngoại giao, Bộ Lao động - Thương binh và Xã hội, Bộ quản lý ngành, Ngân hàng Nhà nước Việt Nam, Ủy ban nhân dân tỉnh, thành phố trực thuộc Trung ương nơi nhà đầu tư đặt trụ sở chính, Cục thuế tỉnh, thành phố/Chi Cục thuế nơi đăng ký thuế và cơ quan đại diện chủ sở hữu (đối với doanh nghiệp có vốn nhà nước).</w:t>
      </w:r>
    </w:p>
    <w:p>
      <w:pPr>
        <w:spacing w:after="0" w:before="0" w:lineRule="auto" w:line="276"/>
        <w:jc w:val="both"/>
      </w:pPr>
      <w:r>
        <w:rPr>
          <w:rFonts w:ascii="Times New Roman" w:hAnsi="Times New Roman" w:cs="Times New Roman" w:eastAsia="Times New Roman"/>
          <w:b w:val="false"/>
          <w:sz w:val="26"/>
        </w:rPr>
        <w:t>- Trường hợp Thủ tướng Chính phủ không chấp thuận chủ trương đầu tư ra nước ngoài, Bộ Kế hoạch và Đầu tư có văn bản thông báo từ chối cấp Giấy chứng nhận đăng ký đầu tư ra nước ngoài và nêu rõ lý do gửi nhà đầu tư.</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Trường hợp hồ sơ không hợp lệ hoặc có nội dung cần phải làm rõ, Bộ Kế hoạch và Đầu tư thông báo bằng văn bản cho nhà đầu tư trong thời hạn 05 ngày làm việc kể từ ngày tiếp nhận hồ sơ để hoàn thiện hồ sơ. - Trong thời hạn 03 ngày làm việc kể từ ngày nhận được hồ sơ dự án đầu tư, Bộ Kế hoạch và Đầu tư gửi hồ sơ lấy ý kiến thẩm định của cơ quan nhà nước có liên quan. - Trong thời hạn 15 ngày kể từ ngày nhận được hồ sơ dự án đầu tư, cơ quan được lấy ý kiến có ý kiến thẩm định về những nội dung thuộc thẩm quyền quản lý. Quá thời hạn trên mà cơ quan được lấy ý kiến không có ý kiến bằng văn bản thì được coi là đã chấp thuận hồ sơ dự án đầu tư đối với những nội dung thuộc lĩnh vực quản lý nhà nước được phân công. - Trong thời hạn 30 ngày kể từ ngày nhận được hồ sơ dự án đầu tư, Bộ Kế hoạch và Đầu tư tổ chức thẩm định và lập báo cáo thẩm định trình Thủ tướng Chính phủ. - Trong thời hạn 10 ngày kể từ ngày nhận được báo cáo thẩm định của Bộ Kế hoạch và Đầu tư, Thủ tướng Chính phủ quyết định chủ trương đầu tư ra nước ngoài. - Trong thời hạn 05 ngày làm việc kể từ ngày nhận được các quyết định chủ trương đầu tư ra nước ngoài của Thủ tướng Chính phủ và quyết định đầu tư ra nước ngoài của cơ quan đại diện chủ sở hữu đối với dự án đầu tư ra nước ngoài của doanh nghiệp do nhà nước nắm giữ 100% vốn điều lệ, Bộ Kế hoạch và Đầu tư cấp Giấy chứng nhận đăng ký đầu tư ra nước ngoài cho nhà đầu tư, đồng thời sao gửi  Bộ Tài chính, Bộ Ngoại giao, Bộ Lao động - Thương binh và Xã hội, Bộ quản lý ngành, Ngân hàng Nhà nước Việt Nam, Ủy ban nhân dân tỉnh, thành phố trực thuộc Trung ương nơi nhà đầu tư đặt trụ sở chính, Cục thuế tỉnh, thành phố/Chi cục thuế nơi đăng ký thuế và cơ quan đại diện chủ sở hữu.  - Trường hợp Thủ tướng Chính phủ không chấp thuận chủ trương đầu tư ra nước ngoài, trong thời hạn 03 ngày làm việc kể từ ngày nhận được văn bản không chấp thuận chủ trương đầu tư ra nước ngoài, Bộ Kế hoạch và Đầu tư có văn bản thông báo từ chối cấp Giấy chứng nhận đăng ký đầu tư ra nước ngoài và nêu rõ lý do gửi nhà đầu tư. </w:t>
            </w:r>
          </w:p>
        </w:tc>
        <w:tc>
          <w:p/>
          <w:p>
            <w:pPr>
              <w:spacing w:after="0" w:before="0" w:lineRule="auto" w:line="276"/>
              <w:jc w:val="left"/>
            </w:pPr>
            <w:r>
              <w:rPr>
                <w:rFonts w:ascii="Times New Roman" w:hAnsi="Times New Roman" w:cs="Times New Roman" w:eastAsia="Times New Roman"/>
                <w:b w:val="false"/>
                <w:sz w:val="26"/>
              </w:rPr>
              <w:t>Lệ phí : 0 Đồng</w:t>
              <w:t xml:space="preserve"> (Không có)</w:t>
            </w:r>
          </w:p>
        </w:tc>
        <w:tc>
          <w:p/>
          <w:p>
            <w:pPr>
              <w:spacing w:after="0" w:before="0" w:lineRule="auto" w:line="276"/>
              <w:jc w:val="left"/>
            </w:pPr>
            <w:r>
              <w:rPr>
                <w:rFonts w:ascii="Times New Roman" w:hAnsi="Times New Roman" w:cs="Times New Roman" w:eastAsia="Times New Roman"/>
                <w:b w:val="false"/>
                <w:sz w:val="26"/>
              </w:rPr>
              <w:t>- Trực tiếp tại trụ sở cơ quan hành chính nhà nước (Bộ Kế hoạch và Đầu tư).</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Trường hợp hồ sơ không hợp lệ hoặc có nội dung cần phải làm rõ, Bộ Kế hoạch và Đầu tư thông báo bằng văn bản cho nhà đầu tư trong thời hạn 05 ngày làm việc kể từ ngày tiếp nhận hồ sơ để hoàn thiện hồ sơ. - Trong thời hạn 03 ngày làm việc kể từ ngày nhận được hồ sơ dự án đầu tư, Bộ Kế hoạch và Đầu tư gửi hồ sơ lấy ý kiến thẩm định của cơ quan nhà nước có liên quan. - Trong thời hạn 15 ngày kể từ ngày nhận được hồ sơ dự án đầu tư, cơ quan được lấy ý kiến có ý kiến thẩm định về những nội dung thuộc thẩm quyền quản lý. Quá thời hạn trên mà cơ quan được lấy ý kiến không có ý kiến bằng văn bản thì được coi là đã chấp thuận hồ sơ dự án đầu tư đối với những nội dung thuộc lĩnh vực quản lý nhà nước được phân công. - Trong thời hạn 30 ngày kể từ ngày nhận được hồ sơ dự án đầu tư, Bộ Kế hoạch và Đầu tư tổ chức thẩm định và lập báo cáo thẩm định trình Thủ tướng Chính phủ. - Trong thời hạn 10 ngày kể từ ngày nhận được báo cáo thẩm định của Bộ Kế hoạch và Đầu tư, Thủ tướng Chính phủ quyết định chủ trương đầu tư ra nước ngoài. - Trong thời hạn 05 ngày làm việc kể từ ngày nhận được các quyết định chủ trương đầu tư ra nước ngoài của Thủ tướng Chính phủ và quyết định đầu tư ra nước ngoài của cơ quan đại diện chủ sở hữu đối với dự án đầu tư ra nước ngoài của doanh nghiệp do nhà nước nắm giữ 100% vốn điều lệ, Bộ Kế hoạch và Đầu tư cấp Giấy chứng nhận đăng ký đầu tư ra nước ngoài cho nhà đầu tư, đồng thời sao gửi  Bộ Tài chính, Bộ Ngoại giao, Bộ Lao động - Thương binh và Xã hội, Bộ quản lý ngành, Ngân hàng Nhà nước Việt Nam, Ủy ban nhân dân tỉnh, thành phố trực thuộc Trung ương nơi nhà đầu tư đặt trụ sở chính, Cục thuế tỉnh, thành phố/Chi cục thuế nơi đăng ký thuế và cơ quan đại diện chủ sở hữu.  - Trường hợp Thủ tướng Chính phủ không chấp thuận chủ trương đầu tư ra nước ngoài, trong thời hạn 03 ngày làm việc kể từ ngày nhận được văn bản không chấp thuận chủ trương đầu tư ra nước ngoài, Bộ Kế hoạch và Đầu tư có văn bản thông báo từ chối cấp Giấy chứng nhận đăng ký đầu tư ra nước ngoài và nêu rõ lý do gửi nhà đầu tư. </w:t>
            </w:r>
          </w:p>
        </w:tc>
        <w:tc>
          <w:p/>
          <w:p>
            <w:pPr>
              <w:spacing w:after="0" w:before="0" w:lineRule="auto" w:line="276"/>
              <w:jc w:val="left"/>
            </w:pPr>
            <w:r>
              <w:rPr>
                <w:rFonts w:ascii="Times New Roman" w:hAnsi="Times New Roman" w:cs="Times New Roman" w:eastAsia="Times New Roman"/>
                <w:b w:val="false"/>
                <w:sz w:val="26"/>
              </w:rPr>
              <w:t>Lệ phí : 0 Đồng</w:t>
              <w:t xml:space="preserve"> (Không có)</w:t>
            </w:r>
          </w:p>
        </w:tc>
        <w:tc>
          <w:p/>
          <w:p>
            <w:pPr>
              <w:spacing w:after="0" w:before="0" w:lineRule="auto" w:line="276"/>
              <w:jc w:val="left"/>
            </w:pPr>
            <w:r>
              <w:rPr>
                <w:rFonts w:ascii="Times New Roman" w:hAnsi="Times New Roman" w:cs="Times New Roman" w:eastAsia="Times New Roman"/>
                <w:b w:val="false"/>
                <w:sz w:val="26"/>
              </w:rPr>
              <w:t>- Thông qua hệ thống bưu chính;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đăng ký đầu tư ra nước ngoài;</w:t>
            </w:r>
          </w:p>
        </w:tc>
        <w:tc>
          <w:p/>
          <w:p>
            <w:pPr>
              <w:spacing w:after="0" w:before="0" w:lineRule="auto" w:line="276"/>
              <w:jc w:val="left"/>
            </w:pPr>
            <w:r>
              <w:rPr>
                <w:rFonts w:ascii="Times New Roman" w:hAnsi="Times New Roman" w:cs="Times New Roman" w:eastAsia="Times New Roman"/>
                <w:b w:val="false"/>
                <w:sz w:val="26"/>
              </w:rPr>
              <w:t>B.I.1 Vb dang ky dau tu ra NN.docx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7</w:t>
            </w:r>
          </w:p>
        </w:tc>
      </w:tr>
      <w:tr>
        <w:tc>
          <w:p/>
          <w:p>
            <w:pPr>
              <w:spacing w:after="0" w:before="0" w:lineRule="auto" w:line="276"/>
              <w:jc w:val="left"/>
            </w:pPr>
            <w:r>
              <w:rPr>
                <w:rFonts w:ascii="Times New Roman" w:hAnsi="Times New Roman" w:cs="Times New Roman" w:eastAsia="Times New Roman"/>
                <w:b w:val="false"/>
                <w:sz w:val="26"/>
              </w:rPr>
              <w:t>2. Tài liệu về tư cách pháp lý của nhà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7</w:t>
            </w:r>
          </w:p>
        </w:tc>
      </w:tr>
      <w:tr>
        <w:tc>
          <w:p/>
          <w:p>
            <w:pPr>
              <w:spacing w:after="0" w:before="0" w:lineRule="auto" w:line="276"/>
              <w:jc w:val="left"/>
            </w:pPr>
            <w:r>
              <w:rPr>
                <w:rFonts w:ascii="Times New Roman" w:hAnsi="Times New Roman" w:cs="Times New Roman" w:eastAsia="Times New Roman"/>
                <w:b w:val="false"/>
                <w:sz w:val="26"/>
              </w:rPr>
              <w:t>3. Đề xuất dự án đầu tư gồm: mục tiêu, quy mô, hình thức, địa điểm đầu tư; xác định sơ bộ vốn đầu tư, phương án huy động vốn, cơ cấu nguồn vốn; tiến độ thực hiện dự án, các giai đoạn đầu tư (nếu có); phân tích sơ bộ hiệu quả đầu tư của dự án.</w:t>
            </w:r>
          </w:p>
        </w:tc>
        <w:tc>
          <w:p/>
          <w:p>
            <w:pPr>
              <w:spacing w:after="0" w:before="0" w:lineRule="auto" w:line="276"/>
              <w:jc w:val="left"/>
            </w:pPr>
            <w:r>
              <w:rPr>
                <w:rFonts w:ascii="Times New Roman" w:hAnsi="Times New Roman" w:cs="Times New Roman" w:eastAsia="Times New Roman"/>
                <w:b w:val="false"/>
                <w:sz w:val="26"/>
              </w:rPr>
              <w:t>Mẫu B.I.2.docx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7</w:t>
            </w:r>
          </w:p>
        </w:tc>
      </w:tr>
      <w:tr>
        <w:tc>
          <w:p/>
          <w:p>
            <w:pPr>
              <w:spacing w:after="0" w:before="0" w:lineRule="auto" w:line="276"/>
              <w:jc w:val="left"/>
            </w:pPr>
            <w:r>
              <w:rPr>
                <w:rFonts w:ascii="Times New Roman" w:hAnsi="Times New Roman" w:cs="Times New Roman" w:eastAsia="Times New Roman"/>
                <w:b w:val="false"/>
                <w:sz w:val="26"/>
              </w:rPr>
              <w:t>4. Tài liệu xác nhận địa điểm thực hiện dự án đầu tư đối với các dự án đầu tư sau đây: a) Dự án thuộc diện Thủ tướng Chính phủ hoặc Quốc hội chấp thuận chủ trương đầu tư ra nước ngoài; b) Dự án năng lượng; c) Dự án chăn nuôi, trồng trọt, trồng rừng, nuôi trồng thủy sản; d) Dự án khảo sát, thăm dò, khai thác và chế biến khoáng sản; đ) Dự án có xây dựng nhà máy, cơ sở sản xuất, chế biến, chế tạo; e) Dự án đầu tư xây dựng công trình, cơ sở hạ tầng; dự án đầu tư kinh doanh bất động sản trừ các hoạt động cung cấp dịch vụ: môi giới bất động sản, sàn giao dịch bất động sản, tư vấn bất động sản, quản lý bất động sản.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7</w:t>
            </w:r>
          </w:p>
        </w:tc>
      </w:tr>
      <w:tr>
        <w:tc>
          <w:p/>
          <w:p>
            <w:pPr>
              <w:spacing w:after="0" w:before="0" w:lineRule="auto" w:line="276"/>
              <w:jc w:val="left"/>
            </w:pPr>
            <w:r>
              <w:rPr>
                <w:rFonts w:ascii="Times New Roman" w:hAnsi="Times New Roman" w:cs="Times New Roman" w:eastAsia="Times New Roman"/>
                <w:b w:val="false"/>
                <w:sz w:val="26"/>
              </w:rPr>
              <w:t>5. Tài liệu xác nhận địa điểm thực hiện dự án đầu tư gồm một trong các loại sau: a) Giấy phép đầu tư hoặc văn bản có giá trị tương đương của quốc gia, vùng lãnh thổ tiếp nhận đầu tư; b) Quyết định giao đất, cho thuê đất của cơ quan, tổ chức có thẩm quyền tại quốc gia, vùng lãnh thổ tiếp nhận đầu tư; c) Hợp đồng trúng thầu, thầu khoán; hợp đồng giao đất, cho thuê đất; hợp đồng hợp tác đầu tư, kinh doanh kèm theo tài liệu chứng minh thẩm quyền của bên liên quan trong hợp đồng đối với địa điểm;  d) Thỏa thuận nguyên tắc về việc giao đất, cho thuê đất, thuê địa điểm kinh doanh, chuyển nhượng quyền sử dụng đất hoặc tài sản trên đất; thỏa thuận hợp tác đầu tư, kinh doanh kèm theo tài liệu chứng minh thẩm quyền của bên liên quan trong thỏa thuận đối với địa điểm.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7</w:t>
            </w:r>
          </w:p>
        </w:tc>
      </w:tr>
      <w:tr>
        <w:tc>
          <w:p/>
          <w:p>
            <w:pPr>
              <w:spacing w:after="0" w:before="0" w:lineRule="auto" w:line="276"/>
              <w:jc w:val="left"/>
            </w:pPr>
            <w:r>
              <w:rPr>
                <w:rFonts w:ascii="Times New Roman" w:hAnsi="Times New Roman" w:cs="Times New Roman" w:eastAsia="Times New Roman"/>
                <w:b w:val="false"/>
                <w:sz w:val="26"/>
              </w:rPr>
              <w:t>6. Tài liệu xác định hình thức đầu tư ra nước ngoài: a) Đối với hoạt động đầu tư ra nước ngoài theo hình thức hợp đồng ở nước ngoài quy định tại điểm b khoản 1 Điều 52 của Luật Đầu tư, nhà đầu tư nộp thỏa thuận, hợp đồng với đối tác nước ngoài về việc đầu tư hoặc tài liệu khác có giá trị tương đương kèm theo tài liệu về tư cách pháp lý của đối tác nước ngoài. b) Đối với hoạt động đầu tư ra nước ngoài theo hình thức góp vốn, mua cổ phần, mua phần vốn góp của tổ chức kinh tế ở nước ngoài để tham gia quản lý tổ chức kinh tế đó, nhà đầu tư nộp thỏa thuận, hợp đồng hoặc tài liệu khác xác định việc góp vốn, mua cổ phần, mua phần vốn góp kèm theo tài liệu về tư cách pháp lý của tổ chức kinh tế ở nước ngoài mà nhà đầu tư góp vốn, mua cổ phần, mua phần vốn góp. c) Đối với hoạt động đầu tư ra nước ngoài theo hình thức đầu tư khác theo quy định của pháp luật nước tiếp nhận đầu tư quy định tại điểm đ khoản 1 Điều 52 của Luật Đầu tư, nhà đầu tư nộp tài liệu xác định hình thức đầu tư đó theo quy định của pháp luật của quốc gia, vùng lãnh thổ tiếp nhận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7</w:t>
            </w:r>
          </w:p>
        </w:tc>
      </w:tr>
      <w:tr>
        <w:tc>
          <w:p/>
          <w:p>
            <w:pPr>
              <w:spacing w:after="0" w:before="0" w:lineRule="auto" w:line="276"/>
              <w:jc w:val="left"/>
            </w:pPr>
            <w:r>
              <w:rPr>
                <w:rFonts w:ascii="Times New Roman" w:hAnsi="Times New Roman" w:cs="Times New Roman" w:eastAsia="Times New Roman"/>
                <w:b w:val="false"/>
                <w:sz w:val="26"/>
              </w:rPr>
              <w:t>7. Tài liệu chứng minh năng lực tài chính của nhà đầu tư gồm ít nhất một trong các tài liệu sau: báo cáo tài chính 02 năm gần nhất của nhà đầu tư; cam kết hỗ trợ tài chính của công ty mẹ; cam kết hỗ trợ tài chính của tổ chức tài chính; bảo lãnh về năng lực tài chính của nhà đầu tư; tài liệu khác chứng minh năng lực tài chính của nhà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7</w:t>
            </w:r>
          </w:p>
        </w:tc>
      </w:tr>
      <w:tr>
        <w:tc>
          <w:p/>
          <w:p>
            <w:pPr>
              <w:spacing w:after="0" w:before="0" w:lineRule="auto" w:line="276"/>
              <w:jc w:val="left"/>
            </w:pPr>
            <w:r>
              <w:rPr>
                <w:rFonts w:ascii="Times New Roman" w:hAnsi="Times New Roman" w:cs="Times New Roman" w:eastAsia="Times New Roman"/>
                <w:b w:val="false"/>
                <w:sz w:val="26"/>
              </w:rPr>
              <w:t>8. Văn bản cam kết tự cân đối nguồn ngoại tệ hoặc văn bản cam kết thu xếp ngoại tệ cho nhà đầu tư của tổ chức tín dụng. Trường hợp nhà đầu tư lựa chọn nộp văn bản cam kết tự cân đối nguồn ngoại tệ thì nộp kèm theo văn bản của tổ chức tín dụng xác nhận số dư tài khoản ngoại tệ của nhà đầu tư.</w:t>
            </w:r>
          </w:p>
        </w:tc>
        <w:tc>
          <w:p/>
          <w:p>
            <w:pPr>
              <w:spacing w:after="0" w:before="0" w:lineRule="auto" w:line="276"/>
              <w:jc w:val="left"/>
            </w:pPr>
            <w:r>
              <w:rPr>
                <w:rFonts w:ascii="Times New Roman" w:hAnsi="Times New Roman" w:cs="Times New Roman" w:eastAsia="Times New Roman"/>
                <w:b w:val="false"/>
                <w:sz w:val="26"/>
              </w:rPr>
              <w:t>Mẫu B.I.6.docx</w:t>
            </w:r>
          </w:p>
          <w:p>
            <w:pPr>
              <w:spacing w:after="0" w:before="0" w:lineRule="auto" w:line="276"/>
              <w:jc w:val="left"/>
            </w:pPr>
            <w:r>
              <w:rPr>
                <w:rFonts w:ascii="Times New Roman" w:hAnsi="Times New Roman" w:cs="Times New Roman" w:eastAsia="Times New Roman"/>
                <w:b w:val="false"/>
                <w:sz w:val="26"/>
              </w:rPr>
              <w:t>Mẫu B.I.7.docx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7</w:t>
            </w:r>
          </w:p>
        </w:tc>
      </w:tr>
      <w:tr>
        <w:tc>
          <w:p/>
          <w:p>
            <w:pPr>
              <w:spacing w:after="0" w:before="0" w:lineRule="auto" w:line="276"/>
              <w:jc w:val="left"/>
            </w:pPr>
            <w:r>
              <w:rPr>
                <w:rFonts w:ascii="Times New Roman" w:hAnsi="Times New Roman" w:cs="Times New Roman" w:eastAsia="Times New Roman"/>
                <w:b w:val="false"/>
                <w:sz w:val="26"/>
              </w:rPr>
              <w:t>9. Văn bản của cơ quan đại diện chủ sở hữu chấp thuận nhà đầu tư thực hiện hoạt động đầu tư ra nước ngoài và báo cáo thẩm định nội bộ về đề xuất đầu tư ra nước ngoài của doanh nghiệp nhà nước quy định tại khoản 1 Điều 59 Luật Đầu tư hoặc quyết định đầu tư ra nước ngoài theo quy định tại khoản 2 Điều 59 Luật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7</w:t>
            </w:r>
          </w:p>
        </w:tc>
      </w:tr>
      <w:tr>
        <w:tc>
          <w:p/>
          <w:p>
            <w:pPr>
              <w:spacing w:after="0" w:before="0" w:lineRule="auto" w:line="276"/>
              <w:jc w:val="left"/>
            </w:pPr>
            <w:r>
              <w:rPr>
                <w:rFonts w:ascii="Times New Roman" w:hAnsi="Times New Roman" w:cs="Times New Roman" w:eastAsia="Times New Roman"/>
                <w:b w:val="false"/>
                <w:sz w:val="26"/>
              </w:rPr>
              <w:t>10. Đối với dự án đầu tư ra nước ngoài trong các ngành, nghề quy định tại khoản 1 Điều 54 của Luật này, nhà đầu tư nộp văn bản của cơ quan nhà nước có thẩm quyền về việc đáp ứng điều kiện đầu tư ra nước ngoài theo quy định của pháp luật có liên quan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7</w:t>
            </w:r>
          </w:p>
        </w:tc>
      </w:tr>
      <w:tr>
        <w:tc>
          <w:p/>
          <w:p>
            <w:pPr>
              <w:spacing w:after="0" w:before="0" w:lineRule="auto" w:line="276"/>
              <w:jc w:val="left"/>
            </w:pPr>
            <w:r>
              <w:rPr>
                <w:rFonts w:ascii="Times New Roman" w:hAnsi="Times New Roman" w:cs="Times New Roman" w:eastAsia="Times New Roman"/>
                <w:b w:val="false"/>
                <w:sz w:val="26"/>
              </w:rPr>
              <w:t>11. Văn bản của cơ quan thuế xác nhận việc thực hiện nghĩa vụ nộp thuế của nhà đầu tư. Thời điểm xác nhận của cơ quan thuế là không quá 03 tháng tính đến ngày nộp hồ sơ dự án đầu tư.</w:t>
            </w:r>
          </w:p>
        </w:tc>
        <w:tc>
          <w:p/>
          <w:p>
            <w:pPr>
              <w:spacing w:after="0" w:before="0" w:lineRule="auto" w:line="276"/>
              <w:jc w:val="left"/>
            </w:pPr>
            <w:r>
              <w:rPr>
                <w:rFonts w:ascii="Times New Roman" w:hAnsi="Times New Roman" w:cs="Times New Roman" w:eastAsia="Times New Roman"/>
                <w:b w:val="false"/>
                <w:sz w:val="26"/>
              </w:rPr>
              <w:t>Mẫu B.I.8.docx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7</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Kế hoạch và Đầu tư</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Thủ tướng Chính phủ</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Trụ sở cơ quan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hoạt động đầu tư ra nước ngoài, Văn bản thông báo (trong trường hợp không được cấp Giấy chứng nhận đăng ký đầu tư ra nước ngoài), Giấy chứng nhận đăng ký đầu tư ra nước ngoài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31/2021/NĐ-CP</w:t>
            </w:r>
          </w:p>
        </w:tc>
        <w:tc>
          <w:p/>
          <w:p>
            <w:pPr>
              <w:spacing w:after="0" w:before="0" w:lineRule="auto" w:line="276"/>
              <w:jc w:val="left"/>
            </w:pPr>
            <w:r>
              <w:rPr>
                <w:rFonts w:ascii="Times New Roman" w:hAnsi="Times New Roman" w:cs="Times New Roman" w:eastAsia="Times New Roman"/>
                <w:b w:val="false"/>
                <w:sz w:val="26"/>
              </w:rPr>
              <w:t>Quy định chi tiết và hướng dẫn thi hành một số điều của Luật Đầu tư</w:t>
            </w:r>
          </w:p>
        </w:tc>
        <w:tc>
          <w:p/>
          <w:p>
            <w:pPr>
              <w:spacing w:after="0" w:before="0" w:lineRule="auto" w:line="276"/>
              <w:jc w:val="left"/>
            </w:pPr>
            <w:r>
              <w:rPr>
                <w:rFonts w:ascii="Times New Roman" w:hAnsi="Times New Roman" w:cs="Times New Roman" w:eastAsia="Times New Roman"/>
                <w:b w:val="false"/>
                <w:sz w:val="26"/>
              </w:rPr>
              <w:t>26-03-2021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03/2021/TT-BKHĐT</w:t>
            </w:r>
          </w:p>
        </w:tc>
        <w:tc>
          <w:p/>
          <w:p>
            <w:pPr>
              <w:spacing w:after="0" w:before="0" w:lineRule="auto" w:line="276"/>
              <w:jc w:val="left"/>
            </w:pPr>
            <w:r>
              <w:rPr>
                <w:rFonts w:ascii="Times New Roman" w:hAnsi="Times New Roman" w:cs="Times New Roman" w:eastAsia="Times New Roman"/>
                <w:b w:val="false"/>
                <w:sz w:val="26"/>
              </w:rPr>
              <w:t>quy định về mẫu văn bản, báo cáo liên quan đến hoạt động đầu tư tại Việt Nam, đầu tư từ Việt Nam ra nước ngoài và xúc tiến đầu</w:t>
            </w:r>
          </w:p>
        </w:tc>
        <w:tc>
          <w:p/>
          <w:p>
            <w:pPr>
              <w:spacing w:after="0" w:before="0" w:lineRule="auto" w:line="276"/>
              <w:jc w:val="left"/>
            </w:pPr>
            <w:r>
              <w:rPr>
                <w:rFonts w:ascii="Times New Roman" w:hAnsi="Times New Roman" w:cs="Times New Roman" w:eastAsia="Times New Roman"/>
                <w:b w:val="false"/>
                <w:sz w:val="26"/>
              </w:rPr>
              <w:t>09-04-2021</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61/2020/QH14</w:t>
            </w:r>
          </w:p>
        </w:tc>
        <w:tc>
          <w:p/>
          <w:p>
            <w:pPr>
              <w:spacing w:after="0" w:before="0" w:lineRule="auto" w:line="276"/>
              <w:jc w:val="left"/>
            </w:pPr>
            <w:r>
              <w:rPr>
                <w:rFonts w:ascii="Times New Roman" w:hAnsi="Times New Roman" w:cs="Times New Roman" w:eastAsia="Times New Roman"/>
                <w:b w:val="false"/>
                <w:sz w:val="26"/>
              </w:rPr>
              <w:t>Luật Đầu tư</w:t>
            </w:r>
          </w:p>
        </w:tc>
        <w:tc>
          <w:p/>
          <w:p>
            <w:pPr>
              <w:spacing w:after="0" w:before="0" w:lineRule="auto" w:line="276"/>
              <w:jc w:val="left"/>
            </w:pPr>
            <w:r>
              <w:rPr>
                <w:rFonts w:ascii="Times New Roman" w:hAnsi="Times New Roman" w:cs="Times New Roman" w:eastAsia="Times New Roman"/>
                <w:b w:val="false"/>
                <w:sz w:val="26"/>
              </w:rPr>
              <w:t>17-06-2020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25/2023/TT-BKHĐT</w:t>
            </w:r>
          </w:p>
        </w:tc>
        <w:tc>
          <w:p/>
          <w:p>
            <w:pPr>
              <w:spacing w:after="0" w:before="0" w:lineRule="auto" w:line="276"/>
              <w:jc w:val="left"/>
            </w:pPr>
            <w:r>
              <w:rPr>
                <w:rFonts w:ascii="Times New Roman" w:hAnsi="Times New Roman" w:cs="Times New Roman" w:eastAsia="Times New Roman"/>
                <w:b w:val="false"/>
                <w:sz w:val="26"/>
              </w:rPr>
              <w:t>Thông tư số 25/2023/TT-BKHĐT Sửa đổi, bổ sung một số Điều của Thông tư số 03/2021/TT-BKHĐT ngày 09 tháng 4 năm 2021 của Bộ trưởng Bộ Kế hoạch và Đầu tư quy định mẫu văn bản, báo cáo liên quan đến hoạt động đầu tư tại Việt Nam, đầu tư từ Việt Nam ra nước ngoài và xúc tiến đầu tư</w:t>
            </w:r>
          </w:p>
        </w:tc>
        <w:tc>
          <w:p/>
          <w:p>
            <w:pPr>
              <w:spacing w:after="0" w:before="0" w:lineRule="auto" w:line="276"/>
              <w:jc w:val="left"/>
            </w:pPr>
            <w:r>
              <w:rPr>
                <w:rFonts w:ascii="Times New Roman" w:hAnsi="Times New Roman" w:cs="Times New Roman" w:eastAsia="Times New Roman"/>
                <w:b w:val="false"/>
                <w:sz w:val="26"/>
              </w:rPr>
              <w:t>30-05-2023</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Trừ các trường hợp thuộc thẩm quyền chấp thuận chủ trương đầu tư của Quốc hội, Thủ tướng Chính phủ chấp thuận chủ trương đầu tư ra nước ngoài đối với các dự án đầu tư sau đây:
+ Dự án thuộc lĩnh vực ngân hàng, bảo hiểm, chứng khoán, báo chí, phát thanh, truyền hình, viễn thông có vốn đầu tư ra nước ngoài từ 400 tỷ đồng trở lên;
+ Dự án đầu tư không thuộc trường hợp quy định tại điểm a khoản này có vốn đầu tư ra nước ngoài từ 800 tỷ đồng trở lên.
- Hoạt động đầu tư ra nước ngoài phù hợp với nguyên tắc quy định tại Điều 51 của Luật Đầu tư, cụ thể:
+ Nhà đầu tư thực hiện hoạt động đầu tư ra nước ngoài nhằm khai thác, phát triển, mở rộng thị trường; tăng khả năng xuất khẩu hàng hóa, dịch vụ, thu ngoại tệ; tiếp cận công nghệ hiện đại, nâng cao năng lực quản lý và bổ sung nguồn lực phát triển kinh tế - xã hội đất nước.
+ Nhà đầu tư thực hiện hoạt động đầu tư ở nước ngoài phải tuân thủ quy định của Luật này, quy định khác của pháp luật có liên quan, pháp luật của quốc gia, vùng lãnh thổ tiếp nhận đầu tư (sau đây gọi là nước tiếp nhận đầu tư) và điều ước quốc tế mà Cộng hòa xã hội chủ nghĩa Việt Nam là thành viên; tự chịu trách nhiệm về hiệu quả hoạt động đầu tư ở nước ngoài.
- Hoạt động đầu tư ra nước ngoài không thuộc ngành, nghề cấm đầu tư kinh doanh quy định tại Điều 53 của Luật Đầu tư, cụ thể:
+ Ngành, nghề cấm đầu tư kinh doanh quy định tại Điều 6 của Luật này và các điều ước quốc tế có liên quan.
+ Ngành, nghề có công nghệ, sản phẩm thuộc đối tượng cấm xuất khẩu theo quy định của pháp luật về quản lý ngoại thương.
+ Ngành, nghề cấm đầu tư kinh doanh theo quy định của pháp luật nước tiếp nhận đầu tư.
- Nhà đầu tư có tự cân đối nguồn ngoại tệ hoặc được tổ chức tín dụng được phép cam kết thu xếp ngoại tệ để thực hiện hoạt động đầu tư ra nước ngoài; trường hợp khoản vốn bằng ngoại tệ chuyển ra nước ngoài tương đương 20 tỷ đồng trở lên và không thuộc dự án quy định tại Điều 56 của Luật Đầu tư (cụ thể: Dự án có vốn đầu tư ra nước ngoài từ 20.000 tỷ đồng trở lên; Dự án yêu cầu áp dụng cơ chế, chính sách đặc biệt cần được Quốc hội quyết định; Dự án thuộc lĩnh vực ngân hàng, bảo hiểm, chứng khoán, báo chí, phát thanh, truyền hình, viễn thông có vốn đầu tư ra nước ngoài từ 400 tỷ đồng trở lên; Dự án đầu tư không thuộc lĩnh vực ngân hàng, bảo hiểm, chứng khoán, báo chí, phát thanh, truyền hình, viễn thông có vốn đầu tư ra nước ngoài từ 800 tỷ đồng trở lên thì Bộ Kế hoạch và Đầu tư lấy ý kiến bằng văn bản của Ngân hàng Nhà nước Việt Nam.
- Văn bản của cơ quan đại diện chủ sở hữu chấp thuận nhà đầu tư thực hiện hoạt động đầu tư ra nước ngoài và báo cáo thẩm định nội bộ về đề xuất đầu tư ra nước ngoài của doanh nghiệp nhà nước quy định tại khoản 1 Điều 59 của Luật Đầu tư hoặc quyết định đầu tư ra nước ngoài theo quy định tại khoản 2 Điều 59 của Luật Đầu tư (cụ thể: Dự án của nhà đầu tư là doanh nghiệp nhà nước thực hiện theo quy định của pháp luật về quản lý, sử dụng vốn nhà nước đầu tư vào sản xuất, kinh doanh tại doanh nghiệp; Hoạt động đầu tư ra nước ngoài không thuộc trường hợp quy định tại khoản 1 Điều 59 do nhà đầu tư quyết định theo quy định của Luật Đầu tư, Luật doanh nghiệp và quy định khác của pháp luật có liên quan).
- Có văn bản của cơ quan thuế xác nhận việc thực hiện nghĩa vụ nộp thuế của nhà đầu tư. Thời điểm xác nhận của cơ quan thuế là không quá 03 tháng tính đến ngày nộp hồ sơ dự án đầu tư.</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Cấp Giấy chứng nhận, đăng ký, đầu tư ra, nước ngoài, đối với dự án, thuộc thẩm quyền, chấp thuận, chủ trương, đầu tư ra, nước ngoài, của Thủ tướng Chính phủ</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2026-05-18T12:39:42Z</dcterms:created>
  <dc:creator>Apache POI</dc:creator>
</cp:coreProperties>
</file>