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Wushu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Do Hội đồng nhân dân cấp tỉnh quy định. </w:t>
              <w:t xml:space="preserve"> (Do Hội đồng nhân dân cấp tỉnh quy định.)</w:t>
              <w:br/>
              <w:t>File đính kèm: nghi quyết 19.pdf</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Do Hội đồng nhân dân cấp tỉnh quy định. </w:t>
              <w:t xml:space="preserve"> (Do Hội đồng nhân dân cấp tỉnh quy định.)</w:t>
              <w:br/>
              <w:t>File đính kèm: VanBanGoc_46.2018.NQ.HDND.pdf</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Do Hội đồng nhân dân cấp tỉnh quy định. </w:t>
              <w:t xml:space="preserve"> (Do Hội đồng nhân dân cấp tỉnh quy định.)</w:t>
              <w:br/>
              <w:t>File đính kèm: VanBanGoc_46.2018.NQ.HDND.pdf</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29/2018/TT-BVHTTDL </w:t>
            </w:r>
          </w:p>
        </w:tc>
        <w:tc>
          <w:p/>
          <w:p>
            <w:pPr>
              <w:spacing w:after="0" w:before="0" w:lineRule="auto" w:line="276"/>
              <w:jc w:val="left"/>
            </w:pPr>
            <w:r>
              <w:rPr>
                <w:rFonts w:ascii="Times New Roman" w:hAnsi="Times New Roman" w:cs="Times New Roman" w:eastAsia="Times New Roman"/>
                <w:b w:val="false"/>
                <w:sz w:val="26"/>
              </w:rPr>
              <w:t>Thông tư  	29/2018/TT-BVHTTDL</w:t>
            </w:r>
          </w:p>
        </w:tc>
        <w:tc>
          <w:p/>
          <w:p>
            <w:pPr>
              <w:spacing w:after="0" w:before="0" w:lineRule="auto" w:line="276"/>
              <w:jc w:val="left"/>
            </w:pPr>
            <w:r>
              <w:rPr>
                <w:rFonts w:ascii="Times New Roman" w:hAnsi="Times New Roman" w:cs="Times New Roman" w:eastAsia="Times New Roman"/>
                <w:b w:val="false"/>
                <w:sz w:val="26"/>
              </w:rPr>
              <w:t>28-09-2018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trang thiết bị tập luyện
1. Sân tập, sàn tập bằng phẳng, không trơn trượt, có diện tích từ 60m2 trở lên đối với nội dung đối kháng (Sanshou) và 80 m2 trở lên đối với nội dung quyền (Taolu).
2. Độ chiếu sáng sân tập, sàn tập bảo đảm từ 200 lux trở lên.
3. Có túi sơ cứu theo quy định của Bộ Y tế.
4. Có sổ theo dõi võ sinh tham gia tập luyện.
5. Có trang thiết bị tập luyện gồm:
a) Thảm tập có độ dày ít nhất là 2cm và có tính đàn hồi;
b) Võ phục, găng, giáp, mũ, kuki trong nội dung đối kháng;
c) Võ phục, các loại vũ khí thể thao thô sơ: Kiếm, đao, côn, thương đối với các bài quyền như Kiếm thuật, Đao thuật, Côn thuật, Thương thuật, Nam đao, Nam côn, Thái cực kiếm trong nội dung quyền.
Việc đăng ký, sử dụng kiếm, đao, côn, thương thực hiện theo quy định của pháp luật về quản lý, sử dụng vũ khí, vật liệu nổ và công cụ hỗ trợ.
(2) Cơ sở vật chất, trang thiết bị thi đấu
1. Thực hiện quy định tại các mục 2, 3, 4 phần (1) nêu trên.
2. Sàn thi đấu:
a) Đối với nội dung Taolu: Thảm đấu có tính đàn hồi, kích thước 18m x 12m x 0,1m;
b) Đối với nội dung Sanshou: Đài thi đấu có diện tích 8m x 8m, cao 0,8m, có đệm bảo vệ xung quanh.
3. Trang thiết bị thi đấu:
a) Thực hiện quy định tại điểm b, c mục 6 phần (1) nêu trên;
b) Đối với nội dung Taolu: Có bảng công bố điểm;
c) Đối với nội dung Sanshou: Có cân trọng lượng cơ thể võ sinh.
(3) Mật độ tập luyện
1. Mật độ tập luyện trên sàn bảo đảm ít nhất 3m2/01 võ sinh.
2. Mỗi người hướng dẫn tập luyện hướng dẫn không quá 30 võ sinh/buổi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2026-05-24T16:04:50Z</dcterms:created>
  <dc:creator>Apache POI</dc:creator>
</cp:coreProperties>
</file>