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2.002084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885/QĐ-BKHĐT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lập địa điểm kinh doanh (đối với doanh nghiệp hoạt động theo Giấy phép đầu tư, Giấy chứng nhận đầu  tư hoặc các giấy tờ có giá trị pháp lý tương đương)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doanh nghiệp hoạt động theo Giấy phép đầu tư, Giấy chứng nhận đầu  tư hoặc các giấy tờ có giá trị pháp lý tương đương  đăng  ký thành lập mới địa điểm kinh doanh, doanh nghiệp nộp hồ sơ đến Phòng Đăng ký kinh doanh nơi lập địa điểm kinh doanh</w:t>
      </w:r>
    </w:p>
    <w:p>
      <w:pPr>
        <w:spacing w:after="0" w:before="0" w:lineRule="auto" w:line="276"/>
        <w:jc w:val="both"/>
      </w:pPr>
      <w:r>
        <w:rPr>
          <w:rFonts w:ascii="Times New Roman" w:hAnsi="Times New Roman" w:cs="Times New Roman" w:eastAsia="Times New Roman"/>
          <w:b w:val="false"/>
          <w:sz w:val="26"/>
        </w:rPr>
        <w:t>Trường hợp địa điểm kinh doanh thuộc chi nhánh, người thực hiện thủ tục đăng ký doanh nghiệp nộp hồ sơ đến Phòng Đăng ký kinh doanh nơi chi nhánh đặt trụ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khi nhận đủ hồ sơ hợp lệ. </w:t>
            </w:r>
          </w:p>
        </w:tc>
        <w:tc>
          <w:p/>
          <w:p>
            <w:pPr>
              <w:spacing w:after="0" w:before="0" w:lineRule="auto" w:line="276"/>
              <w:jc w:val="left"/>
            </w:pPr>
            <w:r>
              <w:rPr>
                <w:rFonts w:ascii="Times New Roman" w:hAnsi="Times New Roman" w:cs="Times New Roman" w:eastAsia="Times New Roman"/>
                <w:b w:val="false"/>
                <w:sz w:val="26"/>
              </w:rPr>
              <w:t>Lệ phí : 50000 Đồng</w:t>
              <w:t xml:space="preserve"> (- 50.000 đồng, đối với trường hợp nộp hồ sơ trực tiếp tại cơ quan đăng ký kinh doanh (Thông tư số 47/2019/TT-BTC).)</w:t>
            </w:r>
          </w:p>
        </w:tc>
        <w:tc>
          <w:p/>
          <w:p>
            <w:pPr>
              <w:spacing w:after="0" w:before="0" w:lineRule="auto" w:line="276"/>
              <w:jc w:val="left"/>
            </w:pPr>
            <w:r>
              <w:rPr>
                <w:rFonts w:ascii="Times New Roman" w:hAnsi="Times New Roman" w:cs="Times New Roman" w:eastAsia="Times New Roman"/>
                <w:b w:val="false"/>
                <w:sz w:val="26"/>
              </w:rPr>
              <w:t xml:space="preserve">Người đại diện theo pháp luật gửi trực tiếp hồ sơ tới Phòng Đăng ký kinh doanh nơi lập địa điểm kinh doanh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khi nhận đủ hồ sơ hợp lệ. </w:t>
            </w:r>
          </w:p>
        </w:tc>
        <w:tc>
          <w:p/>
          <w:p>
            <w:pPr>
              <w:spacing w:after="0" w:before="0" w:lineRule="auto" w:line="276"/>
              <w:jc w:val="left"/>
            </w:pPr>
            <w:r>
              <w:rPr>
                <w:rFonts w:ascii="Times New Roman" w:hAnsi="Times New Roman" w:cs="Times New Roman" w:eastAsia="Times New Roman"/>
                <w:b w:val="false"/>
                <w:sz w:val="26"/>
              </w:rPr>
              <w:t>Mức giá :  Đồng</w:t>
              <w:t xml:space="preserve"> (- Miễn lệ phí đối với trường hợp thực hiện qua mạng điện tử (Thông tư số 47/2019/TT-BTC).)</w:t>
            </w:r>
          </w:p>
        </w:tc>
        <w:tc>
          <w:p/>
          <w:p>
            <w:pPr>
              <w:spacing w:after="0" w:before="0" w:lineRule="auto" w:line="276"/>
              <w:jc w:val="left"/>
            </w:pPr>
            <w:r>
              <w:rPr>
                <w:rFonts w:ascii="Times New Roman" w:hAnsi="Times New Roman" w:cs="Times New Roman" w:eastAsia="Times New Roman"/>
                <w:b w:val="false"/>
                <w:sz w:val="26"/>
              </w:rPr>
              <w:t xml:space="preserve">qua mạng điện tử theo quy trình trên Cổng thông tin quốc gia về đăng ký doanh nghiệp (https://dangkykinhdoanh.gov.vn).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doanh nghiệp là tổ chức tín dụng thuộc loại hình công ty trách nhiệm hoặc công ty cổ phần, khi lập địa điểm kinh doanh ở trong nước thì hồ sơ phải có Bản sao hợp lệ giấy phép hoặc văn bản chấp thuận của Ngân hàng Nhà nước Việt Nam.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lệ giấy phép hoặc văn bản chấp thuận của Ngân hàng Nhà nước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Văn bản ủy quyền cho cá nhân thực hiện thủ tục liên quan đến đăng ký doanh nghiệp.  	Các văn bản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doanh nghiệp đề nghị được cấp Giấy chứng nhận đăng ký địa điểm kinh doanh thay thế cho nội dung đăng ký hoạt động  trong Giấy chứng nhận đầu tư hoặc Giấy chứng nhận đăng ký hoạt động chi nhánh, văn phòng đại diện do cơ quan đăng ký đầu tư cấp mà không thay đổi  nội dung đăng ký hoạt động, doanh nghiệp nộp hồ sơ đến Phòng Đăng ký kinh doanh nơi chi nhánh, văn phòng đại diện đặt trụ sở.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hợp lệ Giấy chứng nhận đầu tư hoặc Giấy chứng nhận đăng ký hoạt động chi nhánh, văn phòng đại diện do cơ quan đăng ký đầu tư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lệ Giấy chứng nhận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bổ sung, cập nhật thông tin đăng ký hoạt động đối với chi nhánh/văn phòng đại diện/địa điểm kinh doanh của doanh nghiệp hoạt động theo Giấy phép đầu tư, Giấy chứng nhận đầu tư (Phụ lục II-19, Thông tư số 02/2019/TT-BKHĐT).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Thông báo về việc đăng ký hoạt động chi nhánh, văn phòng đại diện/lập địa điểm kinh doanh (Phụ lục II-11, Nghị định số 122/2020/NĐ-CP);</w:t>
            </w:r>
          </w:p>
        </w:tc>
        <w:tc>
          <w:p/>
          <w:p>
            <w:pPr>
              <w:spacing w:after="0" w:before="0" w:lineRule="auto" w:line="276"/>
              <w:jc w:val="left"/>
            </w:pPr>
            <w:r>
              <w:rPr>
                <w:rFonts w:ascii="Times New Roman" w:hAnsi="Times New Roman" w:cs="Times New Roman" w:eastAsia="Times New Roman"/>
                <w:b w:val="false"/>
                <w:sz w:val="26"/>
              </w:rPr>
              <w:t>Phụ lục II-11.docx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 Phòng Đăng ký kinh doanh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địa điểm kinh doanh/Thông báo sửa đổi, bổ sung hồ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68/2014/QH13</w:t>
            </w:r>
          </w:p>
        </w:tc>
        <w:tc>
          <w:p/>
          <w:p>
            <w:pPr>
              <w:spacing w:after="0" w:before="0" w:lineRule="auto" w:line="276"/>
              <w:jc w:val="left"/>
            </w:pPr>
            <w:r>
              <w:rPr>
                <w:rFonts w:ascii="Times New Roman" w:hAnsi="Times New Roman" w:cs="Times New Roman" w:eastAsia="Times New Roman"/>
                <w:b w:val="false"/>
                <w:sz w:val="26"/>
              </w:rPr>
              <w:t>Luật 68/2014/QH13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78/2015/NĐ-CP</w:t>
            </w:r>
          </w:p>
        </w:tc>
        <w:tc>
          <w:p/>
          <w:p>
            <w:pPr>
              <w:spacing w:after="0" w:before="0" w:lineRule="auto" w:line="276"/>
              <w:jc w:val="left"/>
            </w:pPr>
            <w:r>
              <w:rPr>
                <w:rFonts w:ascii="Times New Roman" w:hAnsi="Times New Roman" w:cs="Times New Roman" w:eastAsia="Times New Roman"/>
                <w:b w:val="false"/>
                <w:sz w:val="26"/>
              </w:rPr>
              <w:t>Nghị định 78/2015/NĐ-CP</w:t>
            </w:r>
          </w:p>
        </w:tc>
        <w:tc>
          <w:p/>
          <w:p>
            <w:pPr>
              <w:spacing w:after="0" w:before="0" w:lineRule="auto" w:line="276"/>
              <w:jc w:val="left"/>
            </w:pPr>
            <w:r>
              <w:rPr>
                <w:rFonts w:ascii="Times New Roman" w:hAnsi="Times New Roman" w:cs="Times New Roman" w:eastAsia="Times New Roman"/>
                <w:b w:val="false"/>
                <w:sz w:val="26"/>
              </w:rPr>
              <w:t>14-09-2015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20/2015/TT-BKHĐT</w:t>
            </w:r>
          </w:p>
        </w:tc>
        <w:tc>
          <w:p/>
          <w:p>
            <w:pPr>
              <w:spacing w:after="0" w:before="0" w:lineRule="auto" w:line="276"/>
              <w:jc w:val="left"/>
            </w:pPr>
            <w:r>
              <w:rPr>
                <w:rFonts w:ascii="Times New Roman" w:hAnsi="Times New Roman" w:cs="Times New Roman" w:eastAsia="Times New Roman"/>
                <w:b w:val="false"/>
                <w:sz w:val="26"/>
              </w:rPr>
              <w:t>Thông tư 20/2015/TT-BKHĐT</w:t>
            </w:r>
          </w:p>
        </w:tc>
        <w:tc>
          <w:p/>
          <w:p>
            <w:pPr>
              <w:spacing w:after="0" w:before="0" w:lineRule="auto" w:line="276"/>
              <w:jc w:val="left"/>
            </w:pPr>
            <w:r>
              <w:rPr>
                <w:rFonts w:ascii="Times New Roman" w:hAnsi="Times New Roman" w:cs="Times New Roman" w:eastAsia="Times New Roman"/>
                <w:b w:val="false"/>
                <w:sz w:val="26"/>
              </w:rPr>
              <w:t>01-12-2015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02/2019/TT-BKHĐT</w:t>
            </w:r>
          </w:p>
        </w:tc>
        <w:tc>
          <w:p/>
          <w:p>
            <w:pPr>
              <w:spacing w:after="0" w:before="0" w:lineRule="auto" w:line="276"/>
              <w:jc w:val="left"/>
            </w:pPr>
            <w:r>
              <w:rPr>
                <w:rFonts w:ascii="Times New Roman" w:hAnsi="Times New Roman" w:cs="Times New Roman" w:eastAsia="Times New Roman"/>
                <w:b w:val="false"/>
                <w:sz w:val="26"/>
              </w:rPr>
              <w:t>Thông tư 02/2019/TT-BKHĐT</w:t>
            </w:r>
          </w:p>
        </w:tc>
        <w:tc>
          <w:p/>
          <w:p>
            <w:pPr>
              <w:spacing w:after="0" w:before="0" w:lineRule="auto" w:line="276"/>
              <w:jc w:val="left"/>
            </w:pPr>
            <w:r>
              <w:rPr>
                <w:rFonts w:ascii="Times New Roman" w:hAnsi="Times New Roman" w:cs="Times New Roman" w:eastAsia="Times New Roman"/>
                <w:b w:val="false"/>
                <w:sz w:val="26"/>
              </w:rPr>
              <w:t>08-01-2019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cung cấp thông tin doanh nghiệp, lệ phí đăng ký doanh nghiệp</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122/2020/NĐ-CP</w:t>
            </w:r>
          </w:p>
        </w:tc>
        <w:tc>
          <w:p/>
          <w:p>
            <w:pPr>
              <w:spacing w:after="0" w:before="0" w:lineRule="auto" w:line="276"/>
              <w:jc w:val="left"/>
            </w:pPr>
            <w:r>
              <w:rPr>
                <w:rFonts w:ascii="Times New Roman" w:hAnsi="Times New Roman" w:cs="Times New Roman" w:eastAsia="Times New Roman"/>
                <w:b w:val="false"/>
                <w:sz w:val="26"/>
              </w:rPr>
              <w:t>Quy định về phối hợp, liên thông thủ tục đăng ký thành lập doanh nghiệp, chi nhánh, văn phòng đại diện, khai trình việc sử dụng lao động, cấp mã số đơn vị tham gia bảo hiểm xã hội, đăng ký sử dụng hóa đơn của doanh nghiệp</w:t>
            </w:r>
          </w:p>
        </w:tc>
        <w:tc>
          <w:p/>
          <w:p>
            <w:pPr>
              <w:spacing w:after="0" w:before="0" w:lineRule="auto" w:line="276"/>
              <w:jc w:val="left"/>
            </w:pPr>
            <w:r>
              <w:rPr>
                <w:rFonts w:ascii="Times New Roman" w:hAnsi="Times New Roman" w:cs="Times New Roman" w:eastAsia="Times New Roman"/>
                <w:b w:val="false"/>
                <w:sz w:val="26"/>
              </w:rPr>
              <w:t>15-10-2020</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hồ sơ hợp lệ (có đầy đủ giấy tờ như đã nêu tại Thành phần hồ sơ và nội dung các giấy tờ đó được kê khai đầy đủ theo quy định của pháp luật);
2. Tên địa điểm kinh doanh phải được viết bằng các chữ cái trong bảng chữ cái tiếng Việt, các chữ cái F, J, Z, W, chữ số và các ký hiệu;
3. Nộp đủ lệ phí đăng ký doanh nghiệp theo quy định pháp luật về phí và lệ phí.</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Thông báo, lập địa điểm kinh doanh (đối với doanh nghiệp hoạt động theo Giấy phép đầu tư, Giấy chứng nhận đầu  tư hoặc các giấy tờ có giá trị pháp lý tương đương)</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2026-05-21T16:49:57Z</dcterms:created>
  <dc:creator>Apache POI</dc:creator>
</cp:coreProperties>
</file>