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Hủy bỏ kết quả đăng ký tạm trú trú trái pháp luật tại Công an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đăng ký tạm trú không đúng thẩm quyền, không đúng đối tượng, không đúng điều kiện quy định tại Luật Cư trú và các văn bản hướng dẫn thi hành thì Trưởng Công an xã, phường, thị trấn báo cáo, đề xuất Trưởng Công an cấp huyện hủy bỏ việc đăng ký tạm trú trái pháp luật.</w:t>
      </w:r>
    </w:p>
    <w:p>
      <w:pPr>
        <w:spacing w:after="0" w:before="0" w:lineRule="auto" w:line="276"/>
        <w:jc w:val="both"/>
      </w:pPr>
      <w:r>
        <w:rPr>
          <w:rFonts w:ascii="Times New Roman" w:hAnsi="Times New Roman" w:cs="Times New Roman" w:eastAsia="Times New Roman"/>
          <w:b w:val="false"/>
          <w:sz w:val="26"/>
        </w:rPr>
        <w:t>Bước 2: Trưởng Công an cấp huyện ký Quyết định việc hủy bỏ kết quả đăng ký tạm trú trái pháp luật và gửi cho Công an xã, phường, thị trấn và công dân.</w:t>
      </w:r>
    </w:p>
    <w:p>
      <w:pPr>
        <w:spacing w:after="0" w:before="0" w:lineRule="auto" w:line="276"/>
        <w:jc w:val="both"/>
      </w:pPr>
      <w:r>
        <w:rPr>
          <w:rFonts w:ascii="Times New Roman" w:hAnsi="Times New Roman" w:cs="Times New Roman" w:eastAsia="Times New Roman"/>
          <w:b w:val="false"/>
          <w:sz w:val="26"/>
        </w:rPr>
        <w:t xml:space="preserve">Bước 3: Công an xã, phường, thị trấn và công dân thực hiện Quyết định việc hủy bỏ kết quả đăng ký tạm trú trái pháp luật.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Công an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Hồ sơ đăng ký tạm trú trái pháp luật.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Các giấy tờ, tài liệu khác chứng minh việc đăng ký tạm trú trái pháp luật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hủy bỏ kết quả đăng ký tạm trú trái pháp luật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29-11-2006</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2026-05-23T19:28:05Z</dcterms:created>
  <dc:creator>Apache POI</dc:creator>
</cp:coreProperties>
</file>