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quỹ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 Nội vụ) đề nghị giải thể quỹ.</w:t>
      </w:r>
    </w:p>
    <w:p>
      <w:pPr>
        <w:spacing w:after="0" w:before="0" w:lineRule="auto" w:line="276"/>
        <w:jc w:val="both"/>
      </w:pPr>
      <w:r>
        <w:rPr>
          <w:rFonts w:ascii="Times New Roman" w:hAnsi="Times New Roman" w:cs="Times New Roman" w:eastAsia="Times New Roman"/>
          <w:b w:val="false"/>
          <w:sz w:val="26"/>
        </w:rPr>
        <w:t>Trong thời hạn 05 ngày làm việc kể từ khi tiếp nhận hồ sơ,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Cán bộ tiếp nhận hồ sơ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Trong thời hạn 15 ngày làm việc kể từ ngày kết thúc thời hạn ghi trong thông báo thanh toán nợ và thanh lý tài sản, tài chính của quỹ khi quỹ tự giải thể mà không có đơn khiếu nại, Ủy ban nhân dân cấp huyện xem xét, quyết định giải thể và thu hồi giấy phép thành lập và công nhận điều lệ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(Phòng Nội vụ) hoặc qua đường bưu điện. Hồ sơ phải có xác nhận văn bản đến của cơ quan có thẩm quyền, nếu gửi qua đường bưu điện, thời gian được tính từ ngày đến trên phong bì.
Thời hạn giải quyết: 15 ngày làm việc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(Phòng Nội vụ) hoặc qua đường bưu điện. Hồ sơ phải có xác nhận văn bản đến của cơ quan có thẩm quyền, nếu gửi qua đường bưu điện, thời gian được tính từ ngày đến trên phong bì.
Thời hạn giải quyết: 15 ngày làm việc kể từ ngày kết thúc thời hạn ghi trong thông báo thanh toán nợ và thanh lý tài sản, tài chính của quỹ khi quỹ tự giải thể mà không có đơn khiếu nại.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giải thể quỹ (theo mẫu);</w:t>
            </w:r>
          </w:p>
        </w:tc>
        <w:tc>
          <w:p/>
          <w:p>
            <w:pPr>
              <w:spacing w:after="0" w:before="0" w:lineRule="auto" w:line="276"/>
              <w:jc w:val="left"/>
            </w:pPr>
            <w:r>
              <w:rPr>
                <w:rFonts w:ascii="Times New Roman" w:hAnsi="Times New Roman" w:cs="Times New Roman" w:eastAsia="Times New Roman"/>
                <w:b w:val="false"/>
                <w:sz w:val="26"/>
              </w:rPr>
              <w:t>Mau 8-TT02.doc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của Hội đồng quản lý quỹ về tự giải thể, trong đó nêu rõ lý do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kiểm kê tài sản, tài chính của quỹ có chữ ký của Chủ tịch Hội đồng quản lý quỹ, Trưởng Ban Kiểm tra, Giám đốc và 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phương thức xử lý tài sản, tài chính, lao động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thời hạn thanh toán nợ (nếu có) cho các tổ chức và cá nhân có liên quan theo quy định của pháp luật và thông báo liên tiếp trên 03 số báo viết hoặc báo điện tử ở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việc hoàn thành nghĩa vụ tài sản, tài chính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30/2012/NĐ-CP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12-04-2012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02/2013/TT-BNV </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10-04-2013</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chấm dứt hoạt động kể từ ngày quyết định giải thể quỹ của cơ quan nhà nước có thẩm quyền có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2026-05-22T12:09:46Z</dcterms:created>
  <dc:creator>Apache POI</dc:creator>
</cp:coreProperties>
</file>