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báo cáo tổ chức đại hội nhiệm kỳ, đại hội bất thường của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Ban lãnh đạo hội gửi hồ sơ báo cáo về việc tổ chức đại hội nhiệm kỳ, đại hội bất thường đến Ủy ban nhân dân cấp huyện.</w:t>
      </w:r>
    </w:p>
    <w:p>
      <w:pPr>
        <w:spacing w:after="0" w:before="0" w:lineRule="auto" w:line="276"/>
        <w:jc w:val="both"/>
      </w:pPr>
      <w:r>
        <w:rPr>
          <w:rFonts w:ascii="Times New Roman" w:hAnsi="Times New Roman" w:cs="Times New Roman" w:eastAsia="Times New Roman"/>
          <w:b w:val="false"/>
          <w:sz w:val="26"/>
        </w:rPr>
        <w:t>Cán bộ tiếp nhận hồ sơ xem xét hồ sơ và đề nghị bổ sung trong trường hợp hồ sơ chưa đầy đủ và hợp pháp.</w:t>
      </w:r>
    </w:p>
    <w:p>
      <w:pPr>
        <w:spacing w:after="0" w:before="0" w:lineRule="auto" w:line="276"/>
        <w:jc w:val="both"/>
      </w:pPr>
      <w:r>
        <w:rPr>
          <w:rFonts w:ascii="Times New Roman" w:hAnsi="Times New Roman" w:cs="Times New Roman" w:eastAsia="Times New Roman"/>
          <w:b w:val="false"/>
          <w:sz w:val="26"/>
        </w:rPr>
        <w:t>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Trong thời hạn 15 ngày kể từ ngày nhận hồ sơ báo cáo đầy đủ và hợp pháp, Ủy ban nhân dân cấp huyện có ý kiến bằng văn bản về việc tổ chức đại hội. Trường hợp cần lấy ý kiến cơ quan có liên quan đến ngành, lĩnh vực chính mà hội hoạt động thì chậm nhất không quá 25 ngày phải có ý kiến bằng văn bản về việc tổ chức đại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hoặc qua đường bưu điện. Hồ sơ phải có xác nhận văn bản đến của cơ quan có thẩm quyền, nếu gửi qua đường bưu điện, thời gian được tính từ ngày đến trên phong bì.
Thời hạn giải quyết: 25 ngày làm việc kể từ ngày Ủy ban nhân dân cấp huyện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hoặc qua đường bưu điện. Hồ sơ phải có xác nhận văn bản đến của cơ quan có thẩm quyền, nếu gửi qua đường bưu điện, thời gian được tính từ ngày đến trên phong bì.
Thời hạn giải quyết: 25 ngày làm việc kể từ ngày Ủy ban nhân dân cấp huyện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báo cáo tổ chức đại hội nhiệm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hội dung khác thuộc thẩm quyền của đại hội theo quy định của điều lệ hội và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ban lãnh đạo hội về việc tổ chức đại hội nhiệm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báo cáo tổng kết công tác nhiệm kỳ và phương hướng hoạt động nhiệm kỳ tới của hội. Báo cáo kiểm điểm của ban lãnh đạo, ban kiểm tra và báo cáo tài chính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sửa đổi, bổ sung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dự kiến nhân sự ban lãnh đạo, ban kiểm tra, trong đó nêu rõ tiêu chuẩn, cơ cấu, số lượng thành viên ban lãnh đạo, ban kiểm tra hội. Đối với nhân sự dự kiến là người đứng đầu hội phải có sơ yếu lý lịch, phiếu lý lịch tư pháp, văn bản đồng ý của cơ quan có thẩm quyền theo quy định về phân cấp quản lý cán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số lượng hội viên, trong đó nêu rõ số hội viên chính thức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báo cáo đại hội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kiến thời gian, địa điểm tổ chức đại hội, số lượng đại biểu mời, đại biểu chính thức tham dự đại hội, dự kiến chương trình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Nghị quyết của ban lãnh đạo hội về việc tổ chức đại hội bất thường trong đó nêu rõ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những nội dung thảo luận và quyết định tại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cho phép hội tổ chức đại hội nhiệm kỳ, đại hội bất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03/2013/TT-BNV</w:t>
            </w:r>
          </w:p>
        </w:tc>
        <w:tc>
          <w:p/>
          <w:p>
            <w:pPr>
              <w:spacing w:after="0" w:before="0" w:lineRule="auto" w:line="276"/>
              <w:jc w:val="left"/>
            </w:pPr>
            <w:r>
              <w:rPr>
                <w:rFonts w:ascii="Times New Roman" w:hAnsi="Times New Roman" w:cs="Times New Roman" w:eastAsia="Times New Roman"/>
                <w:b w:val="false"/>
                <w:sz w:val="26"/>
              </w:rPr>
              <w:t>Thông tư số 03/2013/TT-BNV ngày 16/4/2013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16-04-2013</w:t>
            </w:r>
          </w:p>
        </w:tc>
        <w:tc>
          <w:p/>
        </w:tc>
      </w:tr>
      <w:tr>
        <w:tc>
          <w:p/>
          <w:p>
            <w:pPr>
              <w:spacing w:after="0" w:before="0" w:lineRule="auto" w:line="276"/>
              <w:jc w:val="left"/>
            </w:pPr>
            <w:r>
              <w:rPr>
                <w:rFonts w:ascii="Times New Roman" w:hAnsi="Times New Roman" w:cs="Times New Roman" w:eastAsia="Times New Roman"/>
                <w:b w:val="false"/>
                <w:sz w:val="26"/>
              </w:rPr>
              <w:t>03/2014/TT-BNV</w:t>
            </w:r>
          </w:p>
        </w:tc>
        <w:tc>
          <w:p/>
          <w:p>
            <w:pPr>
              <w:spacing w:after="0" w:before="0" w:lineRule="auto" w:line="276"/>
              <w:jc w:val="left"/>
            </w:pPr>
            <w:r>
              <w:rPr>
                <w:rFonts w:ascii="Times New Roman" w:hAnsi="Times New Roman" w:cs="Times New Roman" w:eastAsia="Times New Roman"/>
                <w:b w:val="false"/>
                <w:sz w:val="26"/>
              </w:rPr>
              <w:t>Thông tư số 03/2014/TT-BNV ngày 19/6/2014 của Bộ trưởng Bộ Nội vụ Sửa đổi Thông tư số 03/2013/TT-BNV ngày 16 tháng 4 năm 2013 của Bộ trưởng Bộ Nội vụ quy định chi tiết thi hành Nghị định số 45/2010/NĐ-CP ngày 21 tháng 4 năm 2010 của Chính phủ quy định về tổ chức, hoạt động và quản lý hội và Nghị định số 33/2012/NĐ-CP ngày 13 tháng 4 năm 2012 của Chính phủ sửa đổi, bổ sung một số điều của Nghị định số 45/2010/NĐ-CP</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33/2012/NĐ-CP</w:t>
            </w:r>
          </w:p>
        </w:tc>
        <w:tc>
          <w:p/>
          <w:p>
            <w:pPr>
              <w:spacing w:after="0" w:before="0" w:lineRule="auto" w:line="276"/>
              <w:jc w:val="left"/>
            </w:pPr>
            <w:r>
              <w:rPr>
                <w:rFonts w:ascii="Times New Roman" w:hAnsi="Times New Roman" w:cs="Times New Roman" w:eastAsia="Times New Roman"/>
                <w:b w:val="false"/>
                <w:sz w:val="26"/>
              </w:rPr>
              <w:t>Nghị định số 33/2012/NĐ-CP ngày 13/4/2012 của Chính phủ Sửa đổi, bổ sung một số điều của Nghị định số 45/2010/NĐ-CP ngày 21 tháng 4 năm 2010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13-04-2012</w:t>
            </w:r>
          </w:p>
        </w:tc>
        <w:tc>
          <w:p/>
        </w:tc>
      </w:tr>
      <w:tr>
        <w:tc>
          <w:p/>
          <w:p>
            <w:pPr>
              <w:spacing w:after="0" w:before="0" w:lineRule="auto" w:line="276"/>
              <w:jc w:val="left"/>
            </w:pPr>
            <w:r>
              <w:rPr>
                <w:rFonts w:ascii="Times New Roman" w:hAnsi="Times New Roman" w:cs="Times New Roman" w:eastAsia="Times New Roman"/>
                <w:b w:val="false"/>
                <w:sz w:val="26"/>
              </w:rPr>
              <w:t>45/2010/NĐ-CP</w:t>
            </w:r>
          </w:p>
        </w:tc>
        <w:tc>
          <w:p/>
          <w:p>
            <w:pPr>
              <w:spacing w:after="0" w:before="0" w:lineRule="auto" w:line="276"/>
              <w:jc w:val="left"/>
            </w:pPr>
            <w:r>
              <w:rPr>
                <w:rFonts w:ascii="Times New Roman" w:hAnsi="Times New Roman" w:cs="Times New Roman" w:eastAsia="Times New Roman"/>
                <w:b w:val="false"/>
                <w:sz w:val="26"/>
              </w:rPr>
              <w:t>Nghị định số 45/2010/NĐ-CP</w:t>
            </w:r>
          </w:p>
        </w:tc>
        <w:tc>
          <w:p/>
          <w:p>
            <w:pPr>
              <w:spacing w:after="0" w:before="0" w:lineRule="auto" w:line="276"/>
              <w:jc w:val="left"/>
            </w:pPr>
            <w:r>
              <w:rPr>
                <w:rFonts w:ascii="Times New Roman" w:hAnsi="Times New Roman" w:cs="Times New Roman" w:eastAsia="Times New Roman"/>
                <w:b w:val="false"/>
                <w:sz w:val="26"/>
              </w:rPr>
              <w:t>21-04-2010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tổ chức đại hội nhiệm kỳ, đại hội bất thường sau khi có ý kiến bằng văn bản của cơ quan nhà nước có thẩm quyền. Trường hợp hội tổ chức đại hội mà không báo cáo theo quy định thì cơ quan nhà nước có thẩm quyền không phê duyệt điều lệ hội đã được thông qua.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2026-05-22T13:13:17Z</dcterms:created>
  <dc:creator>Apache POI</dc:creator>
</cp:coreProperties>
</file>