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Gửi thỏa ước lao động tập thể cấp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Bước 1: Doanh nghiệp chuẩn bị hồ sơ theo quy định của pháp luật, gửi cơ quan quản lý nhà nước về lao động cấp tỉnh.</w:t>
      </w:r>
    </w:p>
    <w:p>
      <w:pPr>
        <w:spacing w:after="0" w:before="0" w:lineRule="auto" w:line="276"/>
        <w:jc w:val="both"/>
      </w:pPr>
      <w:r>
        <w:rPr>
          <w:rFonts w:ascii="Times New Roman" w:hAnsi="Times New Roman" w:cs="Times New Roman" w:eastAsia="Times New Roman"/>
          <w:b w:val="false"/>
          <w:sz w:val="26"/>
        </w:rPr>
        <w:t xml:space="preserve">      - Bước 2: Cơ quan quản lý nhà nước về lao động lập sổ quản lý thỏa ước lao động tập thể.</w:t>
      </w:r>
    </w:p>
    <w:p>
      <w:pPr>
        <w:spacing w:after="0" w:before="0" w:lineRule="auto" w:line="276"/>
        <w:jc w:val="both"/>
      </w:pPr>
      <w:r>
        <w:rPr>
          <w:rFonts w:ascii="Times New Roman" w:hAnsi="Times New Roman" w:cs="Times New Roman" w:eastAsia="Times New Roman"/>
          <w:b w:val="false"/>
          <w:sz w:val="26"/>
        </w:rPr>
        <w:t xml:space="preserve"> - Bước 3: Trong thời hạn 15 ngày, kể từ ngày nhận được thỏa ước lao động tập thể, nếu phát hiện thỏa ước lao động tập thể có nội dung trái pháp luật hoặc ký kết không đúng thẩm quyền thì cơ quan quản lý nhà nước có văn bản yêu cầu Tòa án nhân dân tuyên bố thỏa ước lao động tập thể vô hiệu, đồng thời gửi cho hai bên ký kết thỏa ước lao động tập thể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thỏa ước lao động tập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nhà nước về lao động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việc nhận thỏa ước lao động tập thể hoặc công văn thông báo về việc thỏa ước lao động tập thể có nội dung trái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10/2012/QH13</w:t>
            </w:r>
          </w:p>
        </w:tc>
        <w:tc>
          <w:p/>
          <w:p>
            <w:pPr>
              <w:spacing w:after="0" w:before="0" w:lineRule="auto" w:line="276"/>
              <w:jc w:val="left"/>
            </w:pPr>
            <w:r>
              <w:rPr>
                <w:rFonts w:ascii="Times New Roman" w:hAnsi="Times New Roman" w:cs="Times New Roman" w:eastAsia="Times New Roman"/>
                <w:b w:val="false"/>
                <w:sz w:val="26"/>
              </w:rPr>
              <w:t>Bộ luật 10/2012/QH13</w:t>
            </w:r>
          </w:p>
        </w:tc>
        <w:tc>
          <w:p/>
          <w:p>
            <w:pPr>
              <w:spacing w:after="0" w:before="0" w:lineRule="auto" w:line="276"/>
              <w:jc w:val="left"/>
            </w:pPr>
            <w:r>
              <w:rPr>
                <w:rFonts w:ascii="Times New Roman" w:hAnsi="Times New Roman" w:cs="Times New Roman" w:eastAsia="Times New Roman"/>
                <w:b w:val="false"/>
                <w:sz w:val="26"/>
              </w:rPr>
              <w:t>16-08-2012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05/2015/NĐ-CP</w:t>
            </w:r>
          </w:p>
        </w:tc>
        <w:tc>
          <w:p/>
          <w:p>
            <w:pPr>
              <w:spacing w:after="0" w:before="0" w:lineRule="auto" w:line="276"/>
              <w:jc w:val="left"/>
            </w:pPr>
            <w:r>
              <w:rPr>
                <w:rFonts w:ascii="Times New Roman" w:hAnsi="Times New Roman" w:cs="Times New Roman" w:eastAsia="Times New Roman"/>
                <w:b w:val="false"/>
                <w:sz w:val="26"/>
              </w:rPr>
              <w:t>Nghị định 05/2015/NĐ-CP</w:t>
            </w:r>
          </w:p>
        </w:tc>
        <w:tc>
          <w:p/>
          <w:p>
            <w:pPr>
              <w:spacing w:after="0" w:before="0" w:lineRule="auto" w:line="276"/>
              <w:jc w:val="left"/>
            </w:pPr>
            <w:r>
              <w:rPr>
                <w:rFonts w:ascii="Times New Roman" w:hAnsi="Times New Roman" w:cs="Times New Roman" w:eastAsia="Times New Roman"/>
                <w:b w:val="false"/>
                <w:sz w:val="26"/>
              </w:rPr>
              <w:t>12-09-2015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quy định trong thỏa ước lao động tập thể không trái với pháp luật lao động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2026-05-20T04:33:14Z</dcterms:created>
  <dc:creator>Apache POI</dc:creator>
</cp:coreProperties>
</file>