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8586a/QĐ-NHCS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gia hạn nợ thông thường đối với người vay vốn để mua, thuê mua nhà ở xã hội; xây dựng mới hoặc sửa chữa nhà để ở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Các thành viên từ đủ 18 tuổi trở lên, có năng lực hành vi dân sự đầy đủ theo quy định của pháp luật thỏa thuận cử 01 (một) cá nhân trong số các thành viên này đại diện theo ủy quyền để đứng tên người vay và thực hiện các giao dịch với NHCSXH nơi thực hiện thủ tục và lập Giấy ủy quyền (mẫu số 01/UQ) đối với trường hợp hộ gia đình vay vốn NHCSXH chưa thực hiện thủ tục lập Giấy ủy quyền khi vay vốn NHCSXH;
- Khi có nhu cầu gia hạn nợ, trước khi đến hạn trả nợ cuối cùng 05 ngày, người vay viết Giấy đề nghị gia hạn nợ (mẫu số 09/NƠXH) gửi cùng với Giấy ủy quyền (mẫu số 01/UQ) đến NHCSXH nơi thực hiện thủ tục.
</w:t>
      </w:r>
    </w:p>
    <w:p>
      <w:pPr>
        <w:spacing w:after="0" w:before="0" w:lineRule="auto" w:line="276"/>
        <w:jc w:val="both"/>
      </w:pPr>
      <w:r>
        <w:rPr>
          <w:rFonts w:ascii="Times New Roman" w:hAnsi="Times New Roman" w:cs="Times New Roman" w:eastAsia="Times New Roman"/>
          <w:b w:val="false"/>
          <w:sz w:val="26"/>
        </w:rPr>
        <w:t>Bước 2. NHCSXH nơi thực hiện thủ tục:
Kiểm tra tính hợp lệ, hợp pháp của hồ sơ đề nghị gia hạn nợ của người vay, xem xét, phê duyệt gia hạn nợ:
- Trường hợp phê duyệt cho gia hạn nợ, NHCSXH nơi thực hiện thủ tục lập Thông báo kết quả phê duyệt gia hạn nợ (mẫu số 09.1/TD) chuyển Tổ trưởng Tổ TK&amp;VV để gửi người vay lưu giữ;
- Trường hợp không phê duyệt cho gia hạn nợ, NHCSXH nơi thực hiện thủ tục lập Thông báo Danh sách người vay không được gia hạn nợ (mẫu số 09.2/TD) chuyển Tổ trưởng Tổ TK&amp;VV để thông báo và đôn đốc người vay thực hiện nghĩa vụ trả nợ.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gia hạn nợ (mẫu số 09/NƠXH) và Giấy ủy quyền (mẫu số 01/UQ) gửi NHCSXH nơi thực hiện thủ tục.
Trong thời hạn không quá 03 (ba) ngày làm việc kể từ ngày NHCSXH nơi thực hiện thủ tục nhận được hồ sơ đề nghị gia hạn nợ từ người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gia hạn nợ (mẫu số 09/NƠXH):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09-NOXH (Giấy đề nghị gia hạn nợ).doc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 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gia hạn nợ (mẫu số 09.1/TD);Thông báo Danh sách người vay không được gia hạn nợ (mẫu số 09.2/TD).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Văn bản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100/2015/NĐ-CP</w:t>
            </w:r>
          </w:p>
        </w:tc>
        <w:tc>
          <w:p/>
          <w:p>
            <w:pPr>
              <w:spacing w:after="0" w:before="0" w:lineRule="auto" w:line="276"/>
              <w:jc w:val="left"/>
            </w:pPr>
            <w:r>
              <w:rPr>
                <w:rFonts w:ascii="Times New Roman" w:hAnsi="Times New Roman" w:cs="Times New Roman" w:eastAsia="Times New Roman"/>
                <w:b w:val="false"/>
                <w:sz w:val="26"/>
              </w:rPr>
              <w:t>Văn bản số 100/2015/NĐ-CP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20/2016/TT-BXD</w:t>
            </w:r>
          </w:p>
        </w:tc>
        <w:tc>
          <w:p/>
          <w:p>
            <w:pPr>
              <w:spacing w:after="0" w:before="0" w:lineRule="auto" w:line="276"/>
              <w:jc w:val="left"/>
            </w:pPr>
            <w:r>
              <w:rPr>
                <w:rFonts w:ascii="Times New Roman" w:hAnsi="Times New Roman" w:cs="Times New Roman" w:eastAsia="Times New Roman"/>
                <w:b w:val="false"/>
                <w:sz w:val="26"/>
              </w:rPr>
              <w:t>Văn bản số 20/2016/TT-BXD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2526/NHCS-TDSV</w:t>
            </w:r>
          </w:p>
        </w:tc>
        <w:tc>
          <w:p/>
          <w:p>
            <w:pPr>
              <w:spacing w:after="0" w:before="0" w:lineRule="auto" w:line="276"/>
              <w:jc w:val="left"/>
            </w:pPr>
            <w:r>
              <w:rPr>
                <w:rFonts w:ascii="Times New Roman" w:hAnsi="Times New Roman" w:cs="Times New Roman" w:eastAsia="Times New Roman"/>
                <w:b w:val="false"/>
                <w:sz w:val="26"/>
              </w:rPr>
              <w:t>Văn bản số 2526/NHCS-TDSV</w:t>
            </w:r>
          </w:p>
        </w:tc>
        <w:tc>
          <w:p/>
          <w:p>
            <w:pPr>
              <w:spacing w:after="0" w:before="0" w:lineRule="auto" w:line="276"/>
              <w:jc w:val="left"/>
            </w:pPr>
            <w:r>
              <w:rPr>
                <w:rFonts w:ascii="Times New Roman" w:hAnsi="Times New Roman" w:cs="Times New Roman" w:eastAsia="Times New Roman"/>
                <w:b w:val="false"/>
                <w:sz w:val="26"/>
              </w:rPr>
              <w:t>27-07-2016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4086/NHCS-TDNN</w:t>
            </w:r>
          </w:p>
        </w:tc>
        <w:tc>
          <w:p/>
          <w:p>
            <w:pPr>
              <w:spacing w:after="0" w:before="0" w:lineRule="auto" w:line="276"/>
              <w:jc w:val="left"/>
            </w:pPr>
            <w:r>
              <w:rPr>
                <w:rFonts w:ascii="Times New Roman" w:hAnsi="Times New Roman" w:cs="Times New Roman" w:eastAsia="Times New Roman"/>
                <w:b w:val="false"/>
                <w:sz w:val="26"/>
              </w:rPr>
              <w:t>Văn bản số 4086/NHCS-TDNN</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phải sử dụng vốn vay đúng mục đích xin vay và trả đủ tiền lãi theo quy định;
- Người vay chưa trả được nợ đến hạn do các nguyên nhân khách quan và có nhu cầu gia hạn nợ;
- Người vay chưa được gia hạn nợ hoặc đã được gia hạn nợ nhưng thời gian gia hạn nợ dưới 24 tháng.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2026-05-20T04:43:23Z</dcterms:created>
  <dc:creator>Apache POI</dc:creator>
</cp:coreProperties>
</file>