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1.005260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2060/QĐ-BKHCN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sáng chế theo Hiệp ước PCT có chọn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Sở hữu trí tuệ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Bước 1: Tiếp nhận đơn</w:t>
      </w:r>
    </w:p>
    <w:p>
      <w:pPr>
        <w:spacing w:after="0" w:before="0" w:lineRule="auto" w:line="276"/>
        <w:jc w:val="both"/>
      </w:pPr>
      <w:r>
        <w:rPr>
          <w:rFonts w:ascii="Times New Roman" w:hAnsi="Times New Roman" w:cs="Times New Roman" w:eastAsia="Times New Roman"/>
          <w:b w:val="false"/>
          <w:sz w:val="26"/>
        </w:rPr>
        <w:t>Đơn đăng ký có thể nộp trực tiếp hoặc gửi qua bưu điện tới trụ sở Cục Sở hữu trí tuệ tại Hà Nội hoặc 2 Văn phòng đại diện của Cục tại TP. Hồ Chí Minh và Đà Nẵng.
</w:t>
      </w:r>
    </w:p>
    <w:p>
      <w:pPr>
        <w:shd w:val="clear" w:color="auto" w:fill="F2F6F9"/>
        <w:spacing w:after="0" w:before="120" w:lineRule="auto" w:line="276"/>
        <w:jc w:val="both"/>
      </w:pPr>
      <w:r>
        <w:rPr>
          <w:rFonts w:ascii="Times New Roman" w:hAnsi="Times New Roman" w:cs="Times New Roman" w:eastAsia="Times New Roman"/>
          <w:b w:val="true"/>
          <w:sz w:val="26"/>
        </w:rPr>
        <w:t>- Bước 2: Thẩm định hình thức đơn. Kiểm tra việc tuân thủ các quy định về hình thức đối với đơn, từ đó đưa ra kết luận đơn có được coi là hợp lệ hay không (Ra quyết định chấp nhận đơn hợp lệ/từ chối chấp nhận đơn[1]).</w:t>
      </w:r>
    </w:p>
    <w:p>
      <w:pPr>
        <w:spacing w:after="0" w:before="0" w:lineRule="auto" w:line="276"/>
        <w:jc w:val="both"/>
      </w:pPr>
      <w:r>
        <w:rPr>
          <w:rFonts w:ascii="Times New Roman" w:hAnsi="Times New Roman" w:cs="Times New Roman" w:eastAsia="Times New Roman"/>
          <w:b w:val="false"/>
          <w:sz w:val="26"/>
        </w:rPr>
        <w:t>+ Trường hợp đơn hợp lệ, Cục Sở hữu trí tuệ ra quyết định chấp nhận đơn hợp lệ;
</w:t>
      </w:r>
    </w:p>
    <w:p>
      <w:pPr>
        <w:spacing w:after="0" w:before="0" w:lineRule="auto" w:line="276"/>
        <w:jc w:val="both"/>
      </w:pPr>
      <w:r>
        <w:rPr>
          <w:rFonts w:ascii="Times New Roman" w:hAnsi="Times New Roman" w:cs="Times New Roman" w:eastAsia="Times New Roman"/>
          <w:b w:val="false"/>
          <w:sz w:val="26"/>
        </w:rPr>
        <w:t>+ Trường hợp đơn không hợp lệ, Cục Sở hữu trí tuệ ra thông báo dự định từ chối chấp nhận đơn trong đó nêu rõ các lý do, thiếu sót khiến cho đơn có thể bị từ chối chấp nhận và ấn định thời hạn 2 tháng để người nộp đơn có ý kiến hoặc sửa chữa thiếu sót. Nếu người nộp đơn không sửa chữa thiếu sót/sửa chữa thiếu sót không đạt yêu cầu/không có ý kiến phản đối/ý kiến phản đối không xác đáng thì Cục Sở hữu trí tuệ ra quyết định từ chối chấp nhận đơn.
</w:t>
      </w:r>
    </w:p>
    <w:p>
      <w:pPr>
        <w:shd w:val="clear" w:color="auto" w:fill="F2F6F9"/>
        <w:spacing w:after="0" w:before="120" w:lineRule="auto" w:line="276"/>
        <w:jc w:val="both"/>
      </w:pPr>
      <w:r>
        <w:rPr>
          <w:rFonts w:ascii="Times New Roman" w:hAnsi="Times New Roman" w:cs="Times New Roman" w:eastAsia="Times New Roman"/>
          <w:b w:val="true"/>
          <w:sz w:val="26"/>
        </w:rPr>
        <w:t>- Bước 3: Công bố đơn</w:t>
      </w:r>
    </w:p>
    <w:p>
      <w:pPr>
        <w:spacing w:after="0" w:before="0" w:lineRule="auto" w:line="276"/>
        <w:jc w:val="both"/>
      </w:pPr>
      <w:r>
        <w:rPr>
          <w:rFonts w:ascii="Times New Roman" w:hAnsi="Times New Roman" w:cs="Times New Roman" w:eastAsia="Times New Roman"/>
          <w:b w:val="false"/>
          <w:sz w:val="26"/>
        </w:rPr>
        <w:t>Sau khi có quyết định chấp nhận đơn hợp lệ, đơn sẽ được công bố trên Công báo sở hữu công nghiệp.
</w:t>
      </w:r>
    </w:p>
    <w:p>
      <w:pPr>
        <w:shd w:val="clear" w:color="auto" w:fill="F2F6F9"/>
        <w:spacing w:after="0" w:before="120" w:lineRule="auto" w:line="276"/>
        <w:jc w:val="both"/>
      </w:pPr>
      <w:r>
        <w:rPr>
          <w:rFonts w:ascii="Times New Roman" w:hAnsi="Times New Roman" w:cs="Times New Roman" w:eastAsia="Times New Roman"/>
          <w:b w:val="true"/>
          <w:sz w:val="26"/>
        </w:rPr>
        <w:t>- Bước 4: Thẩm định nội dung đơn</w:t>
      </w:r>
    </w:p>
    <w:p>
      <w:pPr>
        <w:spacing w:after="0" w:before="0" w:lineRule="auto" w:line="276"/>
        <w:jc w:val="both"/>
      </w:pPr>
      <w:r>
        <w:rPr>
          <w:rFonts w:ascii="Times New Roman" w:hAnsi="Times New Roman" w:cs="Times New Roman" w:eastAsia="Times New Roman"/>
          <w:b w:val="false"/>
          <w:sz w:val="26"/>
        </w:rPr>
        <w:t>+ Được tiến hành khi có yêu cầu thẩm định nội dung;
</w:t>
      </w:r>
    </w:p>
    <w:p>
      <w:pPr>
        <w:spacing w:after="0" w:before="0" w:lineRule="auto" w:line="276"/>
        <w:jc w:val="both"/>
      </w:pPr>
      <w:r>
        <w:rPr>
          <w:rFonts w:ascii="Times New Roman" w:hAnsi="Times New Roman" w:cs="Times New Roman" w:eastAsia="Times New Roman"/>
          <w:b w:val="false"/>
          <w:sz w:val="26"/>
        </w:rPr>
        <w:t>+ Đánh giá khả năng được bảo hộ của đối tượng nêu trong đơn theo các điều kiện bảo hộ (tính mới, trình độ sáng tạo, khả năng áp dụng công nghiệp), qua đó xác định phạm vi bảo hộ tương ứng.
</w:t>
      </w:r>
    </w:p>
    <w:p>
      <w:pPr>
        <w:shd w:val="clear" w:color="auto" w:fill="F2F6F9"/>
        <w:spacing w:after="0" w:before="120" w:lineRule="auto" w:line="276"/>
        <w:jc w:val="both"/>
      </w:pPr>
      <w:r>
        <w:rPr>
          <w:rFonts w:ascii="Times New Roman" w:hAnsi="Times New Roman" w:cs="Times New Roman" w:eastAsia="Times New Roman"/>
          <w:b w:val="true"/>
          <w:sz w:val="26"/>
        </w:rPr>
        <w:t>- Bước 5: Ra quyết định cấp/từ chối cấp văn bằng bảo hộ</w:t>
      </w:r>
    </w:p>
    <w:p>
      <w:pPr>
        <w:spacing w:after="0" w:before="0" w:lineRule="auto" w:line="276"/>
        <w:jc w:val="both"/>
      </w:pPr>
      <w:r>
        <w:rPr>
          <w:rFonts w:ascii="Times New Roman" w:hAnsi="Times New Roman" w:cs="Times New Roman" w:eastAsia="Times New Roman"/>
          <w:b w:val="false"/>
          <w:sz w:val="26"/>
        </w:rPr>
        <w:t>+ Nếu đối tượng nêu trong đơn không đáp ứng được các yêu cầu về bảo hộ, Cục Sở hữu trí tuệ ra quyết định từ chối cấp văn bằng bảo hộ;
</w:t>
      </w:r>
    </w:p>
    <w:p>
      <w:pPr>
        <w:spacing w:after="0" w:before="0" w:lineRule="auto" w:line="276"/>
        <w:jc w:val="both"/>
      </w:pPr>
      <w:r>
        <w:rPr>
          <w:rFonts w:ascii="Times New Roman" w:hAnsi="Times New Roman" w:cs="Times New Roman" w:eastAsia="Times New Roman"/>
          <w:b w:val="false"/>
          <w:sz w:val="26"/>
        </w:rPr>
        <w:t>+ Nếu đối tượng nêu trong đơn đáp ứng được các yêu cầu về bảo hộ, và người nộp đơn nộp phí, lệ phí đầy đủ, đúng hạn thì Cục Sở hữu trí tuệ ra quyết định cấp văn bằng bảo hộ, ghi nhận vào Sổ đăng ký quốc gia về sáng chế và công bố trên Công báo Sở hữu công nghiệp.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Theo quy định </w:t>
            </w:r>
          </w:p>
        </w:tc>
        <w:tc>
          <w:p/>
          <w:p>
            <w:pPr>
              <w:spacing w:after="0" w:before="0" w:lineRule="auto" w:line="276"/>
              <w:jc w:val="left"/>
            </w:pPr>
            <w:r>
              <w:rPr>
                <w:rFonts w:ascii="Times New Roman" w:hAnsi="Times New Roman" w:cs="Times New Roman" w:eastAsia="Times New Roman"/>
                <w:b w:val="false"/>
                <w:sz w:val="26"/>
              </w:rPr>
              <w:t xml:space="preserve">Phí :  </w:t>
              <w:t xml:space="preserve"> (Phí thẩm định hình thức:	20% x 900.000 đồng (mỗi yêu cầu bảo hộ độc lập))</w:t>
            </w:r>
          </w:p>
          <w:p>
            <w:pPr>
              <w:spacing w:after="0" w:before="0" w:lineRule="auto" w:line="276"/>
              <w:jc w:val="left"/>
            </w:pPr>
            <w:r>
              <w:rPr>
                <w:rFonts w:ascii="Times New Roman" w:hAnsi="Times New Roman" w:cs="Times New Roman" w:eastAsia="Times New Roman"/>
                <w:b w:val="false"/>
                <w:sz w:val="26"/>
              </w:rPr>
              <w:t xml:space="preserve">Phí :  </w:t>
              <w:t xml:space="preserve"> (Bản mô tả có trên 6 trang, từ trang thứ 7 trở đi phải nộp thêm 40.000 đồng/trang	)</w:t>
            </w:r>
          </w:p>
          <w:p>
            <w:pPr>
              <w:spacing w:after="0" w:before="0" w:lineRule="auto" w:line="276"/>
              <w:jc w:val="left"/>
            </w:pPr>
            <w:r>
              <w:rPr>
                <w:rFonts w:ascii="Times New Roman" w:hAnsi="Times New Roman" w:cs="Times New Roman" w:eastAsia="Times New Roman"/>
                <w:b w:val="false"/>
                <w:sz w:val="26"/>
              </w:rPr>
              <w:t>Phí : 10000 Đồng</w:t>
              <w:t xml:space="preserve"> (Phí công bố thông tin từ trang bản mô tả thứ 7 trở đi:	10.000 đồng/trang)</w:t>
            </w:r>
          </w:p>
          <w:p>
            <w:pPr>
              <w:spacing w:after="0" w:before="0" w:lineRule="auto" w:line="276"/>
              <w:jc w:val="left"/>
            </w:pPr>
            <w:r>
              <w:rPr>
                <w:rFonts w:ascii="Times New Roman" w:hAnsi="Times New Roman" w:cs="Times New Roman" w:eastAsia="Times New Roman"/>
                <w:b w:val="false"/>
                <w:sz w:val="26"/>
              </w:rPr>
              <w:t xml:space="preserve">Phí :  </w:t>
              <w:t xml:space="preserve"> (Phí thẩm định nội dung:	80% x 900.000 đồng (mỗi yêu cầu bảo hộ độc lập))</w:t>
            </w:r>
          </w:p>
          <w:p>
            <w:pPr>
              <w:spacing w:after="0" w:before="0" w:lineRule="auto" w:line="276"/>
              <w:jc w:val="left"/>
            </w:pPr>
            <w:r>
              <w:rPr>
                <w:rFonts w:ascii="Times New Roman" w:hAnsi="Times New Roman" w:cs="Times New Roman" w:eastAsia="Times New Roman"/>
                <w:b w:val="false"/>
                <w:sz w:val="26"/>
              </w:rPr>
              <w:t>Phí : 100000 Đồng</w:t>
              <w:t xml:space="preserve"> (Phí phân loại quốc tế về sáng chế:	100.000 đồng/phân nhóm)</w:t>
            </w:r>
          </w:p>
          <w:p>
            <w:pPr>
              <w:spacing w:after="0" w:before="0" w:lineRule="auto" w:line="276"/>
              <w:jc w:val="left"/>
            </w:pPr>
            <w:r>
              <w:rPr>
                <w:rFonts w:ascii="Times New Roman" w:hAnsi="Times New Roman" w:cs="Times New Roman" w:eastAsia="Times New Roman"/>
                <w:b w:val="false"/>
                <w:sz w:val="26"/>
              </w:rPr>
              <w:t>Phí : 120000 Đồng</w:t>
              <w:t xml:space="preserve"> (Phí đăng bạ Quyết định cấp Văn bằng bảo hộ:	)</w:t>
            </w:r>
          </w:p>
          <w:p>
            <w:pPr>
              <w:spacing w:after="0" w:before="0" w:lineRule="auto" w:line="276"/>
              <w:jc w:val="left"/>
            </w:pPr>
            <w:r>
              <w:rPr>
                <w:rFonts w:ascii="Times New Roman" w:hAnsi="Times New Roman" w:cs="Times New Roman" w:eastAsia="Times New Roman"/>
                <w:b w:val="false"/>
                <w:sz w:val="26"/>
              </w:rPr>
              <w:t>Phí : 120000 Đồng</w:t>
              <w:t xml:space="preserve"> (Phí công bố đơn:120.000 đồng (từ hình thứ 2 trở đi: 60.000 đồng/1 hình))</w:t>
            </w:r>
          </w:p>
          <w:p>
            <w:pPr>
              <w:spacing w:after="0" w:before="0" w:lineRule="auto" w:line="276"/>
              <w:jc w:val="left"/>
            </w:pPr>
            <w:r>
              <w:rPr>
                <w:rFonts w:ascii="Times New Roman" w:hAnsi="Times New Roman" w:cs="Times New Roman" w:eastAsia="Times New Roman"/>
                <w:b w:val="false"/>
                <w:sz w:val="26"/>
              </w:rPr>
              <w:t>Phí : 120000 Đồng</w:t>
              <w:t xml:space="preserve"> (Phí công bố Quyết định cấp Văn bằng bảo hộ:120.000 đồng (từ hình thứ 2 trở đi: 60.000 đồng/1 hình))</w:t>
            </w:r>
          </w:p>
          <w:p>
            <w:pPr>
              <w:spacing w:after="0" w:before="0" w:lineRule="auto" w:line="276"/>
              <w:jc w:val="left"/>
            </w:pPr>
            <w:r>
              <w:rPr>
                <w:rFonts w:ascii="Times New Roman" w:hAnsi="Times New Roman" w:cs="Times New Roman" w:eastAsia="Times New Roman"/>
                <w:b w:val="false"/>
                <w:sz w:val="26"/>
              </w:rPr>
              <w:t>Phí : 600000 Đồng</w:t>
              <w:t xml:space="preserve"> (Phí thẩm định yêu cầu hưởng quyền ưu tiên:	600.000 đồng (mỗi đơn/yêu cầu))</w:t>
            </w:r>
          </w:p>
          <w:p>
            <w:pPr>
              <w:spacing w:after="0" w:before="0" w:lineRule="auto" w:line="276"/>
              <w:jc w:val="left"/>
            </w:pPr>
            <w:r>
              <w:rPr>
                <w:rFonts w:ascii="Times New Roman" w:hAnsi="Times New Roman" w:cs="Times New Roman" w:eastAsia="Times New Roman"/>
                <w:b w:val="false"/>
                <w:sz w:val="26"/>
              </w:rPr>
              <w:t>Phí : 600000 Đồng</w:t>
              <w:t xml:space="preserve"> (Phí tra cứu thông tin nhằm phục vụ việc thẩm định:600.000 đồng (cho mỗi yêu cầu bảo hộ độc lập))</w:t>
            </w:r>
          </w:p>
          <w:p>
            <w:pPr>
              <w:spacing w:after="0" w:before="0" w:lineRule="auto" w:line="276"/>
              <w:jc w:val="left"/>
            </w:pPr>
            <w:r>
              <w:rPr>
                <w:rFonts w:ascii="Times New Roman" w:hAnsi="Times New Roman" w:cs="Times New Roman" w:eastAsia="Times New Roman"/>
                <w:b w:val="false"/>
                <w:sz w:val="26"/>
              </w:rPr>
              <w:t>Phí : 900000 Đồng</w:t>
              <w:t xml:space="preserve"> (Phí thẩm định:	900.000 đồng (cho mỗi yêu cầu bảo hộ độc lập))</w:t>
            </w:r>
          </w:p>
          <w:p>
            <w:pPr>
              <w:spacing w:after="0" w:before="0" w:lineRule="auto" w:line="276"/>
              <w:jc w:val="left"/>
            </w:pPr>
            <w:r>
              <w:rPr>
                <w:rFonts w:ascii="Times New Roman" w:hAnsi="Times New Roman" w:cs="Times New Roman" w:eastAsia="Times New Roman"/>
                <w:b w:val="false"/>
                <w:sz w:val="26"/>
              </w:rPr>
              <w:t>Lệ phí : 120000 Đồng</w:t>
              <w:t xml:space="preserve"> (Lệ phí cấp Văn bằng bảo hộ (cho 1 yêu cầu bảo hộ độc lập).120.000 đ (từ yêu cầu bảo hộ độc lập thứ 2 trở đi: 100.000 đồng/1 yêu cầu bảo hộ độc lập))</w:t>
            </w:r>
          </w:p>
          <w:p>
            <w:pPr>
              <w:spacing w:after="0" w:before="0" w:lineRule="auto" w:line="276"/>
              <w:jc w:val="left"/>
            </w:pPr>
            <w:r>
              <w:rPr>
                <w:rFonts w:ascii="Times New Roman" w:hAnsi="Times New Roman" w:cs="Times New Roman" w:eastAsia="Times New Roman"/>
                <w:b w:val="false"/>
                <w:sz w:val="26"/>
              </w:rPr>
              <w:t>Lệ phí : 150000 Đồng</w:t>
              <w:t xml:space="preserve"> (Lệ phí nộp đơn (cho mỗi yêu cầu bảo hộ độc lập)	)</w:t>
            </w:r>
          </w:p>
        </w:tc>
        <w:tc>
          <w:p/>
          <w:p>
            <w:pPr>
              <w:spacing w:after="0" w:before="0" w:lineRule="auto" w:line="276"/>
              <w:jc w:val="left"/>
            </w:pPr>
            <w:r>
              <w:rPr>
                <w:rFonts w:ascii="Times New Roman" w:hAnsi="Times New Roman" w:cs="Times New Roman" w:eastAsia="Times New Roman"/>
                <w:b w:val="false"/>
                <w:sz w:val="26"/>
              </w:rPr>
              <w:t>- Thẩm định hình thức: 01 tháng từ ngày nộp đơn;
- Công bố đơn: trong tháng thứ 19 kể từ ngày ưu tiên hoặc ngày nộp đơn, nếu đơn không có ngày ưu tiên hoặc trong thời hạn 02 tháng kể từ ngày chấp nhận đơn hợp lệ, tuỳ theo ngày nào muộn hơn;
- Thẩm định nội dung: không quá 18 tháng kể từ ngày công bố đơn nếu yêu cầu thẩm định nội dung được nộp trước ngày công bố đơn hoặc kể từ ngày nhận được yêu cầu thẩm định nội dung nếu yêu cầu đó được nộp sau ngày công bố đơn.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Theo quy định </w:t>
            </w:r>
          </w:p>
        </w:tc>
        <w:tc>
          <w:p/>
          <w:p>
            <w:pPr>
              <w:spacing w:after="0" w:before="0" w:lineRule="auto" w:line="276"/>
              <w:jc w:val="left"/>
            </w:pPr>
            <w:r>
              <w:rPr>
                <w:rFonts w:ascii="Times New Roman" w:hAnsi="Times New Roman" w:cs="Times New Roman" w:eastAsia="Times New Roman"/>
                <w:b w:val="false"/>
                <w:sz w:val="26"/>
              </w:rPr>
              <w:t xml:space="preserve">Phí :  </w:t>
              <w:t xml:space="preserve"> (Phí thẩm định nội dung:	80% x 900.000 đồng (mỗi yêu cầu bảo hộ độc lập))</w:t>
            </w:r>
          </w:p>
          <w:p>
            <w:pPr>
              <w:spacing w:after="0" w:before="0" w:lineRule="auto" w:line="276"/>
              <w:jc w:val="left"/>
            </w:pPr>
            <w:r>
              <w:rPr>
                <w:rFonts w:ascii="Times New Roman" w:hAnsi="Times New Roman" w:cs="Times New Roman" w:eastAsia="Times New Roman"/>
                <w:b w:val="false"/>
                <w:sz w:val="26"/>
              </w:rPr>
              <w:t xml:space="preserve">Phí :  </w:t>
              <w:t xml:space="preserve"> (Phí thẩm định hình thức:	20% x 900.000 đồng (mỗi yêu cầu bảo hộ độc lập))</w:t>
            </w:r>
          </w:p>
          <w:p>
            <w:pPr>
              <w:spacing w:after="0" w:before="0" w:lineRule="auto" w:line="276"/>
              <w:jc w:val="left"/>
            </w:pPr>
            <w:r>
              <w:rPr>
                <w:rFonts w:ascii="Times New Roman" w:hAnsi="Times New Roman" w:cs="Times New Roman" w:eastAsia="Times New Roman"/>
                <w:b w:val="false"/>
                <w:sz w:val="26"/>
              </w:rPr>
              <w:t xml:space="preserve">Phí :  </w:t>
              <w:t xml:space="preserve"> (Bản mô tả có trên 6 trang, từ trang thứ 7 trở đi phải nộp thêm 40.000 đồng/trang	)</w:t>
            </w:r>
          </w:p>
          <w:p>
            <w:pPr>
              <w:spacing w:after="0" w:before="0" w:lineRule="auto" w:line="276"/>
              <w:jc w:val="left"/>
            </w:pPr>
            <w:r>
              <w:rPr>
                <w:rFonts w:ascii="Times New Roman" w:hAnsi="Times New Roman" w:cs="Times New Roman" w:eastAsia="Times New Roman"/>
                <w:b w:val="false"/>
                <w:sz w:val="26"/>
              </w:rPr>
              <w:t>Phí : 10000 Đồng</w:t>
              <w:t xml:space="preserve"> (Phí công bố thông tin từ trang bản mô tả thứ 7 trở đi:	10.000 đồng/trang)</w:t>
            </w:r>
          </w:p>
          <w:p>
            <w:pPr>
              <w:spacing w:after="0" w:before="0" w:lineRule="auto" w:line="276"/>
              <w:jc w:val="left"/>
            </w:pPr>
            <w:r>
              <w:rPr>
                <w:rFonts w:ascii="Times New Roman" w:hAnsi="Times New Roman" w:cs="Times New Roman" w:eastAsia="Times New Roman"/>
                <w:b w:val="false"/>
                <w:sz w:val="26"/>
              </w:rPr>
              <w:t>Phí : 100000 Đồng</w:t>
              <w:t xml:space="preserve"> (Phí phân loại quốc tế về sáng chế:	100.000 đồng/phân nhóm)</w:t>
            </w:r>
          </w:p>
          <w:p>
            <w:pPr>
              <w:spacing w:after="0" w:before="0" w:lineRule="auto" w:line="276"/>
              <w:jc w:val="left"/>
            </w:pPr>
            <w:r>
              <w:rPr>
                <w:rFonts w:ascii="Times New Roman" w:hAnsi="Times New Roman" w:cs="Times New Roman" w:eastAsia="Times New Roman"/>
                <w:b w:val="false"/>
                <w:sz w:val="26"/>
              </w:rPr>
              <w:t>Phí : 120000 Đồng</w:t>
              <w:t xml:space="preserve"> (Phí đăng bạ Quyết định cấp Văn bằng bảo hộ:	)</w:t>
            </w:r>
          </w:p>
          <w:p>
            <w:pPr>
              <w:spacing w:after="0" w:before="0" w:lineRule="auto" w:line="276"/>
              <w:jc w:val="left"/>
            </w:pPr>
            <w:r>
              <w:rPr>
                <w:rFonts w:ascii="Times New Roman" w:hAnsi="Times New Roman" w:cs="Times New Roman" w:eastAsia="Times New Roman"/>
                <w:b w:val="false"/>
                <w:sz w:val="26"/>
              </w:rPr>
              <w:t>Phí : 120000 Đồng</w:t>
              <w:t xml:space="preserve"> (Phí công bố đơn:120.000 đồng (từ hình thứ 2 trở đi: 60.000 đồng/1 hình))</w:t>
            </w:r>
          </w:p>
          <w:p>
            <w:pPr>
              <w:spacing w:after="0" w:before="0" w:lineRule="auto" w:line="276"/>
              <w:jc w:val="left"/>
            </w:pPr>
            <w:r>
              <w:rPr>
                <w:rFonts w:ascii="Times New Roman" w:hAnsi="Times New Roman" w:cs="Times New Roman" w:eastAsia="Times New Roman"/>
                <w:b w:val="false"/>
                <w:sz w:val="26"/>
              </w:rPr>
              <w:t>Phí : 120000 Đồng</w:t>
              <w:t xml:space="preserve"> (Phí công bố Quyết định cấp Văn bằng bảo hộ:120.000 đồng (từ hình thứ 2 trở đi: 60.000 đồng/1 hình))</w:t>
            </w:r>
          </w:p>
          <w:p>
            <w:pPr>
              <w:spacing w:after="0" w:before="0" w:lineRule="auto" w:line="276"/>
              <w:jc w:val="left"/>
            </w:pPr>
            <w:r>
              <w:rPr>
                <w:rFonts w:ascii="Times New Roman" w:hAnsi="Times New Roman" w:cs="Times New Roman" w:eastAsia="Times New Roman"/>
                <w:b w:val="false"/>
                <w:sz w:val="26"/>
              </w:rPr>
              <w:t>Phí : 600000 Đồng</w:t>
              <w:t xml:space="preserve"> (Phí thẩm định yêu cầu hưởng quyền ưu tiên:	600.000 đồng (mỗi đơn/yêu cầu))</w:t>
            </w:r>
          </w:p>
          <w:p>
            <w:pPr>
              <w:spacing w:after="0" w:before="0" w:lineRule="auto" w:line="276"/>
              <w:jc w:val="left"/>
            </w:pPr>
            <w:r>
              <w:rPr>
                <w:rFonts w:ascii="Times New Roman" w:hAnsi="Times New Roman" w:cs="Times New Roman" w:eastAsia="Times New Roman"/>
                <w:b w:val="false"/>
                <w:sz w:val="26"/>
              </w:rPr>
              <w:t>Phí : 600000 Đồng</w:t>
              <w:t xml:space="preserve"> (Phí tra cứu thông tin nhằm phục vụ việc thẩm định:600.000 đồng (cho mỗi yêu cầu bảo hộ độc lập))</w:t>
            </w:r>
          </w:p>
          <w:p>
            <w:pPr>
              <w:spacing w:after="0" w:before="0" w:lineRule="auto" w:line="276"/>
              <w:jc w:val="left"/>
            </w:pPr>
            <w:r>
              <w:rPr>
                <w:rFonts w:ascii="Times New Roman" w:hAnsi="Times New Roman" w:cs="Times New Roman" w:eastAsia="Times New Roman"/>
                <w:b w:val="false"/>
                <w:sz w:val="26"/>
              </w:rPr>
              <w:t>Phí : 900000 Đồng</w:t>
              <w:t xml:space="preserve"> (Phí thẩm định:	900.000 đồng (cho mỗi yêu cầu bảo hộ độc lập))</w:t>
            </w:r>
          </w:p>
          <w:p>
            <w:pPr>
              <w:spacing w:after="0" w:before="0" w:lineRule="auto" w:line="276"/>
              <w:jc w:val="left"/>
            </w:pPr>
            <w:r>
              <w:rPr>
                <w:rFonts w:ascii="Times New Roman" w:hAnsi="Times New Roman" w:cs="Times New Roman" w:eastAsia="Times New Roman"/>
                <w:b w:val="false"/>
                <w:sz w:val="26"/>
              </w:rPr>
              <w:t>Lệ phí : 120000 Đồng</w:t>
              <w:t xml:space="preserve"> (Lệ phí cấp Văn bằng bảo hộ (cho 1 yêu cầu bảo hộ độc lập).120.000 đ (từ yêu cầu bảo hộ độc lập thứ 2 trở đi: 100.000 đồng/1 yêu cầu bảo hộ độc lập))</w:t>
            </w:r>
          </w:p>
          <w:p>
            <w:pPr>
              <w:spacing w:after="0" w:before="0" w:lineRule="auto" w:line="276"/>
              <w:jc w:val="left"/>
            </w:pPr>
            <w:r>
              <w:rPr>
                <w:rFonts w:ascii="Times New Roman" w:hAnsi="Times New Roman" w:cs="Times New Roman" w:eastAsia="Times New Roman"/>
                <w:b w:val="false"/>
                <w:sz w:val="26"/>
              </w:rPr>
              <w:t>Lệ phí : 150000 Đồng</w:t>
              <w:t xml:space="preserve"> (Lệ phí nộp đơn (cho mỗi yêu cầu bảo hộ độc lập)	)</w:t>
            </w:r>
          </w:p>
        </w:tc>
        <w:tc>
          <w:p/>
          <w:p>
            <w:pPr>
              <w:spacing w:after="0" w:before="0" w:lineRule="auto" w:line="276"/>
              <w:jc w:val="left"/>
            </w:pPr>
            <w:r>
              <w:rPr>
                <w:rFonts w:ascii="Times New Roman" w:hAnsi="Times New Roman" w:cs="Times New Roman" w:eastAsia="Times New Roman"/>
                <w:b w:val="false"/>
                <w:sz w:val="26"/>
              </w:rPr>
              <w:t>- Thẩm định hình thức: 01 tháng từ ngày nộp đơn;
- Công bố đơn: trong tháng thứ 19 kể từ ngày ưu tiên hoặc ngày nộp đơn, nếu đơn không có ngày ưu tiên hoặc trong thời hạn 02 tháng kể từ ngày chấp nhận đơn hợp lệ, tuỳ theo ngày nào muộn hơn;
- Thẩm định nội dung: không quá 18 tháng kể từ ngày công bố đơn nếu yêu cầu thẩm định nội dung được nộp trước ngày công bố đơn hoặc kể từ ngày nhận được yêu cầu thẩm định nội dung nếu yêu cầu đó được nộp sau ngày công bố đơn.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w:t>
            </w:r>
          </w:p>
        </w:tc>
        <w:tc>
          <w:p/>
          <w:p>
            <w:pPr>
              <w:spacing w:after="0" w:before="0" w:lineRule="auto" w:line="276"/>
              <w:jc w:val="left"/>
            </w:pPr>
            <w:r>
              <w:rPr>
                <w:rFonts w:ascii="Times New Roman" w:hAnsi="Times New Roman" w:cs="Times New Roman" w:eastAsia="Times New Roman"/>
                <w:b w:val="false"/>
                <w:sz w:val="26"/>
              </w:rPr>
              <w:t>A.01 đăng ký SC.doc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dịch ra tiếng Việt của đơn quốc tế: bản mô tả, gồm phần mô tả, yêu cầu bảo hộ, chú thích các hình vẽ và bản tóm tắt (bản công bố hoặc bản gốc nộp ban đầu, nếu đơn chưa được công bố và bản sửa đổi và bản giải thích phần sửa đổi, nếu đơn quốc tế có sửa đổi theo Điều 19 và/hoặc Điều 34(2)(b) của Hiệp ước)</w:t>
            </w:r>
          </w:p>
        </w:tc>
        <w:tc>
          <w:p/>
          <w:p>
            <w:pPr>
              <w:spacing w:after="0" w:before="0" w:lineRule="auto" w:line="276"/>
              <w:jc w:val="left"/>
            </w:pPr>
            <w:r>
              <w:rPr>
                <w:rFonts w:ascii="Times New Roman" w:hAnsi="Times New Roman" w:cs="Times New Roman" w:eastAsia="Times New Roman"/>
                <w:b w:val="false"/>
                <w:sz w:val="26"/>
              </w:rPr>
              <w:t>B.03 yêu cầu thẩm định nội dung SC.doc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dịch ra tiếng Việt của các phụ lục báo cáo xét nghiệm sơ bộ quốc tế (khi có yêu cầu thẩm định nội dung đơn)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chứng từ nộp phí, lệ phí (trường hợp nộp phí, lệ phí qua dịch vụ bưu chính hoặc nộp trực tiếp vào tài khoản của Cục Sở hữu trí tuệ)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ủy quyền (nếu nộp đơn thông qua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Sở hữu trí tuệ - 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Sở hữu trí tuệ - Bộ Khoa học và Công nghệ</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Bằng độc quyền sáng chế., Bằng độc quyền giải pháp hữu ích., Quyết định cấp bằng độc quyền sáng chế hoặc bằng độc quyền giải pháp hữu ích., Quyết định từ chối cấp bằng độc quyền sáng chế hoặc bằng độc quyền giải pháp hữu ích.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50/2005/QH11 </w:t>
            </w:r>
          </w:p>
        </w:tc>
        <w:tc>
          <w:p/>
          <w:p>
            <w:pPr>
              <w:spacing w:after="0" w:before="0" w:lineRule="auto" w:line="276"/>
              <w:jc w:val="left"/>
            </w:pPr>
            <w:r>
              <w:rPr>
                <w:rFonts w:ascii="Times New Roman" w:hAnsi="Times New Roman" w:cs="Times New Roman" w:eastAsia="Times New Roman"/>
                <w:b w:val="false"/>
                <w:sz w:val="26"/>
              </w:rPr>
              <w:t>Luật 50/2005/QH11</w:t>
            </w:r>
          </w:p>
        </w:tc>
        <w:tc>
          <w:p/>
          <w:p>
            <w:pPr>
              <w:spacing w:after="0" w:before="0" w:lineRule="auto" w:line="276"/>
              <w:jc w:val="left"/>
            </w:pPr>
            <w:r>
              <w:rPr>
                <w:rFonts w:ascii="Times New Roman" w:hAnsi="Times New Roman" w:cs="Times New Roman" w:eastAsia="Times New Roman"/>
                <w:b w:val="false"/>
                <w:sz w:val="26"/>
              </w:rPr>
              <w:t>29-11-2005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36/2009/QH12 </w:t>
            </w:r>
          </w:p>
        </w:tc>
        <w:tc>
          <w:p/>
          <w:p>
            <w:pPr>
              <w:spacing w:after="0" w:before="0" w:lineRule="auto" w:line="276"/>
              <w:jc w:val="left"/>
            </w:pPr>
            <w:r>
              <w:rPr>
                <w:rFonts w:ascii="Times New Roman" w:hAnsi="Times New Roman" w:cs="Times New Roman" w:eastAsia="Times New Roman"/>
                <w:b w:val="false"/>
                <w:sz w:val="26"/>
              </w:rPr>
              <w:t>Luật 36/2009/QH12</w:t>
            </w:r>
          </w:p>
        </w:tc>
        <w:tc>
          <w:p/>
          <w:p>
            <w:pPr>
              <w:spacing w:after="0" w:before="0" w:lineRule="auto" w:line="276"/>
              <w:jc w:val="left"/>
            </w:pPr>
            <w:r>
              <w:rPr>
                <w:rFonts w:ascii="Times New Roman" w:hAnsi="Times New Roman" w:cs="Times New Roman" w:eastAsia="Times New Roman"/>
                <w:b w:val="false"/>
                <w:sz w:val="26"/>
              </w:rPr>
              <w:t>19-06-2009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01/2007/TT-BKHCN	</w:t>
            </w:r>
          </w:p>
        </w:tc>
        <w:tc>
          <w:p/>
          <w:p>
            <w:pPr>
              <w:spacing w:after="0" w:before="0" w:lineRule="auto" w:line="276"/>
              <w:jc w:val="left"/>
            </w:pPr>
            <w:r>
              <w:rPr>
                <w:rFonts w:ascii="Times New Roman" w:hAnsi="Times New Roman" w:cs="Times New Roman" w:eastAsia="Times New Roman"/>
                <w:b w:val="false"/>
                <w:sz w:val="26"/>
              </w:rPr>
              <w:t>Thông tư 01/2007/TT-BKHCN-Hướng dẫn thi hành Nghị định số 103/2006/NĐ-CP ngày 22/09/2006 của Chính phủ quy định chi tiết và hướng dẫn thi hành một số điều của Luật Sở hữu trí tuệ về sở hữu công nghiệp</w:t>
            </w:r>
          </w:p>
        </w:tc>
        <w:tc>
          <w:p/>
          <w:p>
            <w:pPr>
              <w:spacing w:after="0" w:before="0" w:lineRule="auto" w:line="276"/>
              <w:jc w:val="left"/>
            </w:pPr>
            <w:r>
              <w:rPr>
                <w:rFonts w:ascii="Times New Roman" w:hAnsi="Times New Roman" w:cs="Times New Roman" w:eastAsia="Times New Roman"/>
                <w:b w:val="false"/>
                <w:sz w:val="26"/>
              </w:rPr>
              <w:t>14-02-2007</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263/2016/TT-BTC</w:t>
            </w:r>
          </w:p>
        </w:tc>
        <w:tc>
          <w:p/>
          <w:p>
            <w:pPr>
              <w:spacing w:after="0" w:before="0" w:lineRule="auto" w:line="276"/>
              <w:jc w:val="left"/>
            </w:pPr>
            <w:r>
              <w:rPr>
                <w:rFonts w:ascii="Times New Roman" w:hAnsi="Times New Roman" w:cs="Times New Roman" w:eastAsia="Times New Roman"/>
                <w:b w:val="false"/>
                <w:sz w:val="26"/>
              </w:rPr>
              <w:t>Thông tư 263/2016/TT-BTC-Quy định mức thu, chế độ thu, nộp, quản lý và sử dụng phí, lệ phí sở hữu công nghiệp</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18/2011/TT-BKHCN</w:t>
            </w:r>
          </w:p>
        </w:tc>
        <w:tc>
          <w:p/>
          <w:p>
            <w:pPr>
              <w:spacing w:after="0" w:before="0" w:lineRule="auto" w:line="276"/>
              <w:jc w:val="left"/>
            </w:pPr>
            <w:r>
              <w:rPr>
                <w:rFonts w:ascii="Times New Roman" w:hAnsi="Times New Roman" w:cs="Times New Roman" w:eastAsia="Times New Roman"/>
                <w:b w:val="false"/>
                <w:sz w:val="26"/>
              </w:rPr>
              <w:t>Thông tư 18/2011/TT-BKHCN-Sửa đổi, bổ sung một số quy định của Thông tư số 01/2007/TT-BKHCN ngày 14/02/2007, được sửa đổi, bổ sung theo Thông tư số 13/2010/TT-BKHCN ngày 31/7/2010 và Thông tư số 01/2008/TT-BKHCN ngày 25/02/2008, được sửa đổi, bổ sung theo Thông tư số 04/2009/TT-BKHCN ngày 27/3/2009</w:t>
            </w:r>
          </w:p>
        </w:tc>
        <w:tc>
          <w:p/>
          <w:p>
            <w:pPr>
              <w:spacing w:after="0" w:before="0" w:lineRule="auto" w:line="276"/>
              <w:jc w:val="left"/>
            </w:pPr>
            <w:r>
              <w:rPr>
                <w:rFonts w:ascii="Times New Roman" w:hAnsi="Times New Roman" w:cs="Times New Roman" w:eastAsia="Times New Roman"/>
                <w:b w:val="false"/>
                <w:sz w:val="26"/>
              </w:rPr>
              <w:t>22-07-2011</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50/2005/QH11</w:t>
            </w:r>
          </w:p>
        </w:tc>
        <w:tc>
          <w:p/>
          <w:p>
            <w:pPr>
              <w:spacing w:after="0" w:before="0" w:lineRule="auto" w:line="276"/>
              <w:jc w:val="left"/>
            </w:pPr>
            <w:r>
              <w:rPr>
                <w:rFonts w:ascii="Times New Roman" w:hAnsi="Times New Roman" w:cs="Times New Roman" w:eastAsia="Times New Roman"/>
                <w:b w:val="false"/>
                <w:sz w:val="26"/>
              </w:rPr>
              <w:t>Luật Sở hữu trí tuệ</w:t>
            </w:r>
          </w:p>
        </w:tc>
        <w:tc>
          <w:p/>
          <w:p>
            <w:pPr>
              <w:spacing w:after="0" w:before="0" w:lineRule="auto" w:line="276"/>
              <w:jc w:val="left"/>
            </w:pPr>
            <w:r>
              <w:rPr>
                <w:rFonts w:ascii="Times New Roman" w:hAnsi="Times New Roman" w:cs="Times New Roman" w:eastAsia="Times New Roman"/>
                <w:b w:val="false"/>
                <w:sz w:val="26"/>
              </w:rPr>
              <w:t>29-11-2005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103/2006/NĐ-CP</w:t>
            </w:r>
          </w:p>
        </w:tc>
        <w:tc>
          <w:p/>
          <w:p>
            <w:pPr>
              <w:spacing w:after="0" w:before="0" w:lineRule="auto" w:line="276"/>
              <w:jc w:val="left"/>
            </w:pPr>
            <w:r>
              <w:rPr>
                <w:rFonts w:ascii="Times New Roman" w:hAnsi="Times New Roman" w:cs="Times New Roman" w:eastAsia="Times New Roman"/>
                <w:b w:val="false"/>
                <w:sz w:val="26"/>
              </w:rPr>
              <w:t>Nghị định 103/2006/NĐ-CP-Quy định chi tiết và hướng dẫn thi hành một số điều của Luật Sở hữu trí tuệ về sở hữu công nghiệp</w:t>
            </w:r>
          </w:p>
        </w:tc>
        <w:tc>
          <w:p/>
          <w:p>
            <w:pPr>
              <w:spacing w:after="0" w:before="0" w:lineRule="auto" w:line="276"/>
              <w:jc w:val="left"/>
            </w:pPr>
            <w:r>
              <w:rPr>
                <w:rFonts w:ascii="Times New Roman" w:hAnsi="Times New Roman" w:cs="Times New Roman" w:eastAsia="Times New Roman"/>
                <w:b w:val="false"/>
                <w:sz w:val="26"/>
              </w:rPr>
              <w:t>22-09-2006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13/2010/TT-BKHCN</w:t>
            </w:r>
          </w:p>
        </w:tc>
        <w:tc>
          <w:p/>
          <w:p>
            <w:pPr>
              <w:spacing w:after="0" w:before="0" w:lineRule="auto" w:line="276"/>
              <w:jc w:val="left"/>
            </w:pPr>
            <w:r>
              <w:rPr>
                <w:rFonts w:ascii="Times New Roman" w:hAnsi="Times New Roman" w:cs="Times New Roman" w:eastAsia="Times New Roman"/>
                <w:b w:val="false"/>
                <w:sz w:val="26"/>
              </w:rPr>
              <w:t>Thông tư 13/2010/TT-BKHCN-Sửa đổi, bổ sung một số quy định của Thông tư số 17/2009/TT-BKHCN ngày 18/6/2009 và Thông tư số 01/2007/TT-BKHCN ngày 14/02/2007</w:t>
            </w:r>
          </w:p>
        </w:tc>
        <w:tc>
          <w:p/>
          <w:p>
            <w:pPr>
              <w:spacing w:after="0" w:before="0" w:lineRule="auto" w:line="276"/>
              <w:jc w:val="left"/>
            </w:pPr>
            <w:r>
              <w:rPr>
                <w:rFonts w:ascii="Times New Roman" w:hAnsi="Times New Roman" w:cs="Times New Roman" w:eastAsia="Times New Roman"/>
                <w:b w:val="false"/>
                <w:sz w:val="26"/>
              </w:rPr>
              <w:t>30-07-2010</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05/2013/TT-BKHCN</w:t>
            </w:r>
          </w:p>
        </w:tc>
        <w:tc>
          <w:p/>
          <w:p>
            <w:pPr>
              <w:spacing w:after="0" w:before="0" w:lineRule="auto" w:line="276"/>
              <w:jc w:val="left"/>
            </w:pPr>
            <w:r>
              <w:rPr>
                <w:rFonts w:ascii="Times New Roman" w:hAnsi="Times New Roman" w:cs="Times New Roman" w:eastAsia="Times New Roman"/>
                <w:b w:val="false"/>
                <w:sz w:val="26"/>
              </w:rPr>
              <w:t>Thông tư 05/2013/TT-BKHCN-Sửa đổi, bổ sung một số điều của Thông tư số 01/2007/TT-BKHCN ngày 14/02/2007 hướng dẫn thi hành Nghị định số 103/2006/NĐ-CP quy định chi tiết một số điều của Luật Sở hữu trí tuệ về sở hữu công nghiệp, được sửa đổi, bổ sung theo Thông tư số 13/2010/TT-BKHCN ngày 30/7/2010 và Thông tư số 18/2011/TT-BKHCN ngày 22/7/2011</w:t>
            </w:r>
          </w:p>
        </w:tc>
        <w:tc>
          <w:p/>
          <w:p>
            <w:pPr>
              <w:spacing w:after="0" w:before="0" w:lineRule="auto" w:line="276"/>
              <w:jc w:val="left"/>
            </w:pPr>
            <w:r>
              <w:rPr>
                <w:rFonts w:ascii="Times New Roman" w:hAnsi="Times New Roman" w:cs="Times New Roman" w:eastAsia="Times New Roman"/>
                <w:b w:val="false"/>
                <w:sz w:val="26"/>
              </w:rPr>
              <w:t>20-02-2013</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16/2016/TT-BKHCN</w:t>
            </w:r>
          </w:p>
        </w:tc>
        <w:tc>
          <w:p/>
          <w:p>
            <w:pPr>
              <w:spacing w:after="0" w:before="0" w:lineRule="auto" w:line="276"/>
              <w:jc w:val="left"/>
            </w:pPr>
            <w:r>
              <w:rPr>
                <w:rFonts w:ascii="Times New Roman" w:hAnsi="Times New Roman" w:cs="Times New Roman" w:eastAsia="Times New Roman"/>
                <w:b w:val="false"/>
                <w:sz w:val="26"/>
              </w:rPr>
              <w:t>Thông tư 16/2016/TT-BKHCN-Thông tư Sửa đổi, bổ sung một số điều của Thông tư số 01/2007/TT-BKHCN ngày 14 tháng 02 năm 2007 hướng dẫn thi hành Nghị định số 103/2006/NĐ-CP ngày 22 tháng 9 năm 2006 của Chính phủ quy định chi tiết và hướng dẫn thi hành một số điều của Luật Sở hữu trí tuệ về sở hữu công nghiệp, được sửa đổi, bổ sung theo Thông tư số 13/2010/TT-BKHCN ngày 30 tháng 7 năm 2010, Thông tư số 18/2011/TT-BKHCN ngày 22 tháng 7 năm 2011 và Thông tư số 05/2013/TT-BKHCN ngày 20 tháng 02 năm 2013</w:t>
            </w:r>
          </w:p>
        </w:tc>
        <w:tc>
          <w:p/>
          <w:p>
            <w:pPr>
              <w:spacing w:after="0" w:before="0" w:lineRule="auto" w:line="276"/>
              <w:jc w:val="left"/>
            </w:pPr>
            <w:r>
              <w:rPr>
                <w:rFonts w:ascii="Times New Roman" w:hAnsi="Times New Roman" w:cs="Times New Roman" w:eastAsia="Times New Roman"/>
                <w:b w:val="false"/>
                <w:sz w:val="26"/>
              </w:rPr>
              <w:t>30-06-2016</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Tổ chức, cá nhân đáp ứng các điều kiện sau có quyền đăng ký sáng chế:
+ Tác giả tạo ra sáng chế bằng công sức và chi phí của mình;
+ Tổ chức, cá nhân đầu tư kinh phí, phương tiện vật chất cho tác giả dưới hình thức giao việc, thuê việc, trừ trường hợp các bên có thoả thuận khác và thoả thuận đó không trái với quy định của pháp luật;
+ Trường hợp nhiều tổ chức, cá nhân cùng nhau tạo ra hoặc đầu tư để tạo ra sáng chế thì các tổ chức, cá nhân đó đều có quyền đăng ký và quyền đăng ký đó chỉ được thực hiện nếu tất cả các tổ chức, cá nhân đó đồng ý;
+ Trường hợp sáng chế được tạo ra do sử dụng cơ sở vật chất - kỹ thuật, kinh phí từ ngân sách nhà nước:
 Trường hợp sáng chế được tạo ra trên cơ sở Nhà nước đầu tư toàn bộ kinh phí, phương tiện vật chất - kỹ thuật, quyền đăng ký sáng chế thuộc về Nhà nước. Tổ chức, cơ quan nhà nước được giao quyền chủ đầu tư có trách nhiệm đại diện Nhà nước thực hiện quyền đăng ký sáng chế;
 Trường hợp sáng chế được tạo ra trên cơ sở Nhà nước góp vốn (kinh phí, phương tiện vật chất - kỹ thuật), một phần quyền đăng ký sáng chế tương ứng với tỷ lệ góp vốn thuộc về Nhà nước. Tổ chức, cơ quan nhà nước là chủ phần vốn đầu tư của Nhà nước có trách nhiệm đại diện Nhà nước thực hiện phần quyền đăng ký sáng chế;
 Trường hợp sáng chế được tạo ra trên cơ sở hợp tác nghiên cứu - phát triển giữa tổ chức, cơ quan nhà nước với tổ chức, cá nhân khác, nếu trong thoả thuận hợp tác nghiên cứu - phát triển không có quy định khác thì một phần quyền đăng ký sáng chế tương ứng với tỷ lệ đóng góp của tổ chức, cơ quan nhà nước trong việc hợp tác đó, thuộc về Nhà nước. Tổ chức, cơ quan nhà nước tham gia hợp tác nghiên cứu - phát triển có trách nhiệm đại diện Nhà nước thực hiện quyền đăng ký sáng chế.
- Người có quyền đăng ký có quyền chuyển giao quyền đăng ký cho tổ chức, cá nhân khác dưới hình thức hợp đồng bằng văn bản, để thừa kế hoặc kế thừa theo quy định của pháp luật, kể cả trường hợp đã nộp đơn đăng ký.
- Việc chọn Việt Nam phải được thực hiện trong thời hạn 22 tháng kể từ ngày ưu tiên hoặc 03 tháng kể từ ngày báo cáo tra cứu quốc tế được chuyển tới người nộp đơn hoặc thực hiện việc công bố theo Điều 17.2 (a) của Hiệp ước hoặc đưa ra ý kiến chính thức theo Quy tắc 43bis của Quy chế thi hành Hiệp ước, tùy theo thời điểm nào kết thúc muộn hơn. Để được vào giai đoạn quốc gia, trong thời hạn 31 tháng kể từ ngày nộp đơn quốc tế hoặc kể từ ngày ưu tiên (nếu đơn có yêu cầu hưởng quyền ưu tiên)[1], người nộp đơn phải nộp đơn cho Cục Sở hữu trí tuệ.
- Người nộp đơn không được nộp đơn trực tiếp mà phải thông qua một đại diện hợp pháp tại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đăng ký sáng chế theo Hiệp ước PCT có chọn Việt Nam</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2026-05-09T14:47:51Z</dcterms:created>
  <dc:creator>Apache POI</dc:creator>
</cp:coreProperties>
</file>