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nội dung quảng cáo dịch vụ khám bệnh, chữa bệnh thuộc thẩm quyền của Sở Y tế khi có thay đổi về tên, địa chỉ của tổ chức, cá nhân chịu trách nhiệm và không thay đổi nội dung quảng cáo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xác nhận nội dung quảng cáo nộp hồ sơ đến Sở Y tế tỉnh, thành phố trực thuộc Trung ương trong trường hợp xác nhận nội dung quảng cáo đối với dịch vụ khám bệnh, chữa bệnh của cơ sở khám bệnh, chữa bệnh do Giám đốc Sở Y tế cấp giấy phép hoạt động, phê duyệt danh mục kỹ thuật và các bệnh viện tư nhân đã được Bộ Y tế cấp giấy phép hoạt động.
Bước 2. Trường hợp hồ sơ chưa hợp lệ, trong thời gian 05 ngày làm việc kể từ ngày nhận hồ sơ theo dấu tiếp nhận công văn đến của cơ quan tiếp nhận hồ sơ, cơ quan tiếp nhận hồ sơ có văn bản đề nghị đơn vị sửa đổi, bổ sung. Thời gian để tổ chức, cá nhân đề nghị xác nhận nội dung quảng cáo sửa đổi, bổ sung hoàn chỉnh hồ sơ theo yêu cầu tối đa là 90 ngày kể từ ngày nhận được văn bản thông báo sửa đổi, bổ sung của cơ quan tiếp nhận hồ sơ. Quá thời hạn này thì hồ sơ đề nghị xác nhận nội dung quảng cáo hết giá trị.
Bước 3. Trong thời gian 10 ngày làm việc kể từ ngày nhận đủ hồ sơ hợp lệ theo dấu tiếp nhận công văn đến của cơ quan tiếp nhận hồ sơ, cơ quan nhà nước có thẩm quyền cấp giấy xác nhận nội dung quảng cáo. Trường hợp không cấp giấy xác nhận nội dung quảng cáo, cơ quan nhà nước có thẩm quyền phải trả lời bằng văn bản và nêu rõ lý do không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theo dấu tiếp nhận công văn đến của cơ quan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theo dấu tiếp nhận công văn đến của cơ quan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theo dấu tiếp nhận công văn đến của cơ quan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xác nội dung quảng cáo theo quy định tại Phụ lục 04 ban hành kèm theo Thông tư 09/2015/TT-BYT;</w:t>
            </w:r>
          </w:p>
        </w:tc>
        <w:tc>
          <w:p/>
          <w:p>
            <w:pPr>
              <w:spacing w:after="0" w:before="0" w:lineRule="auto" w:line="276"/>
              <w:jc w:val="left"/>
            </w:pPr>
            <w:r>
              <w:rPr>
                <w:rFonts w:ascii="Times New Roman" w:hAnsi="Times New Roman" w:cs="Times New Roman" w:eastAsia="Times New Roman"/>
                <w:b w:val="false"/>
                <w:sz w:val="26"/>
              </w:rPr>
              <w:t>TT09_2015_TTBYT_Phu luc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nội dung quảng cáo đã được cấp kèm theo mẫu hoặc kịch bản quảng cáo đã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về việc thay đổi về tên, địa chỉ của tổ chức, cá nhân chịu trách nhiệm đưa sản phẩm, hàng hóa, dịch vụ ra thị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15/QH15</w:t>
            </w:r>
          </w:p>
        </w:tc>
        <w:tc>
          <w:p/>
          <w:p>
            <w:pPr>
              <w:spacing w:after="0" w:before="0" w:lineRule="auto" w:line="276"/>
              <w:jc w:val="left"/>
            </w:pPr>
            <w:r>
              <w:rPr>
                <w:rFonts w:ascii="Times New Roman" w:hAnsi="Times New Roman" w:cs="Times New Roman" w:eastAsia="Times New Roman"/>
                <w:b w:val="false"/>
                <w:sz w:val="26"/>
              </w:rPr>
              <w:t>Luật Khám bệnh, chữa bệnh số: 15/2023/QH15</w:t>
            </w:r>
          </w:p>
        </w:tc>
        <w:tc>
          <w:p/>
          <w:p>
            <w:pPr>
              <w:spacing w:after="0" w:before="0" w:lineRule="auto" w:line="276"/>
              <w:jc w:val="left"/>
            </w:pPr>
            <w:r>
              <w:rPr>
                <w:rFonts w:ascii="Times New Roman" w:hAnsi="Times New Roman" w:cs="Times New Roman" w:eastAsia="Times New Roman"/>
                <w:b w:val="false"/>
                <w:sz w:val="26"/>
              </w:rPr>
              <w:t>09-01-2023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2026-05-22T15:37:52Z</dcterms:created>
  <dc:creator>Apache POI</dc:creator>
</cp:coreProperties>
</file>