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3038/QĐ-BKHCN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thiết kế bố trí mạch tích hợp bán dẫn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Thẩm định hình thức đơn</w:t>
      </w:r>
    </w:p>
    <w:p>
      <w:pPr>
        <w:spacing w:after="0" w:before="0" w:lineRule="auto" w:line="276"/>
        <w:jc w:val="both"/>
      </w:pPr>
      <w:r>
        <w:rPr>
          <w:rFonts w:ascii="Times New Roman" w:hAnsi="Times New Roman" w:cs="Times New Roman" w:eastAsia="Times New Roman"/>
          <w:b w:val="false"/>
          <w:sz w:val="26"/>
        </w:rPr>
        <w:t>Kiểm tra việc tuân thủ các quy định về hình thức đối với đơn, từ đó đưa ra kết luận đơn có được coi là hợp lệ hay không (Ra quyết định chấp nhận đơn hợp lệ/từ chối chấp nhận đơn[1]).
</w:t>
      </w:r>
    </w:p>
    <w:p>
      <w:pPr>
        <w:spacing w:after="0" w:before="0" w:lineRule="auto" w:line="276"/>
        <w:jc w:val="both"/>
      </w:pPr>
      <w:r>
        <w:rPr>
          <w:rFonts w:ascii="Times New Roman" w:hAnsi="Times New Roman" w:cs="Times New Roman" w:eastAsia="Times New Roman"/>
          <w:b w:val="false"/>
          <w:sz w:val="26"/>
        </w:rPr>
        <w:t>+ Trong trường hợp đơn hợp lệ, Cục Sở hữu trí tuệ gửi cho người nộp đơn quyết định chấp nhận đơn hợp lệ, đồng thời nêu rõ đối tượng nêu trong đơn có khả năng được cấp Giấy chứng nhận đăng ký thiết kế bố trí;
</w:t>
      </w:r>
    </w:p>
    <w:p>
      <w:pPr>
        <w:spacing w:after="0" w:before="0" w:lineRule="auto" w:line="276"/>
        <w:jc w:val="both"/>
      </w:pPr>
      <w:r>
        <w:rPr>
          <w:rFonts w:ascii="Times New Roman" w:hAnsi="Times New Roman" w:cs="Times New Roman" w:eastAsia="Times New Roman"/>
          <w:b w:val="false"/>
          <w:sz w:val="26"/>
        </w:rPr>
        <w:t>+ Trong trường hợp đơn không hợp lệ, Cục Sở hữu trí tuệ gửi cho người nộp đơn quyết định từ chối chấp nhận đơn.
</w:t>
      </w:r>
    </w:p>
    <w:p>
      <w:pPr>
        <w:shd w:val="clear" w:color="auto" w:fill="F2F6F9"/>
        <w:spacing w:after="0" w:before="120" w:lineRule="auto" w:line="276"/>
        <w:jc w:val="both"/>
      </w:pPr>
      <w:r>
        <w:rPr>
          <w:rFonts w:ascii="Times New Roman" w:hAnsi="Times New Roman" w:cs="Times New Roman" w:eastAsia="Times New Roman"/>
          <w:b w:val="true"/>
          <w:sz w:val="26"/>
        </w:rPr>
        <w:t>- Bước 3: Công bố đơn</w:t>
      </w:r>
    </w:p>
    <w:p>
      <w:pPr>
        <w:spacing w:after="0" w:before="0" w:lineRule="auto" w:line="276"/>
        <w:jc w:val="both"/>
      </w:pPr>
      <w:r>
        <w:rPr>
          <w:rFonts w:ascii="Times New Roman" w:hAnsi="Times New Roman" w:cs="Times New Roman" w:eastAsia="Times New Roman"/>
          <w:b w:val="false"/>
          <w:sz w:val="26"/>
        </w:rPr>
        <w:t>Sau khi có quyết định chấp nhận đơn hợp lệ, đơn sẽ được công bố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Bước 4: Thông báo dự định cấp Giấy chứng nhận đăng ký thiết kế bố trí</w:t>
      </w:r>
    </w:p>
    <w:p>
      <w:pPr>
        <w:spacing w:after="0" w:before="0" w:lineRule="auto" w:line="276"/>
        <w:jc w:val="both"/>
      </w:pPr>
      <w:r>
        <w:rPr>
          <w:rFonts w:ascii="Times New Roman" w:hAnsi="Times New Roman" w:cs="Times New Roman" w:eastAsia="Times New Roman"/>
          <w:b w:val="false"/>
          <w:sz w:val="26"/>
        </w:rPr>
        <w:t>Nếu sau thời hạn 03 tháng kể từ ngày thiết kế bố trí được công bố trên Công báo sở hữu công nghiệp mà không có ý kiến của người thứ ba phản đối việc đăng ký thiết kế bố trí hoặc mặc dù có ý kiến phản đối nhưng kết quả xử lý chứng minh rằng ý kiến phản đối không xác đáng thì Cục Sở hữu trí tuệ thông báo dự định cấp Giấy chứng nhận đăng ký thiết kế bố trí đối với đối tượng nêu trong đơn và ấn định thời hạn 03 tháng kể từ ngày ra thông báo để người nộp đơn nộp phí công bố, phí đăng bạ và lệ phí cấp văn bằng bảo hộ
</w:t>
      </w:r>
    </w:p>
    <w:p>
      <w:pPr>
        <w:shd w:val="clear" w:color="auto" w:fill="F2F6F9"/>
        <w:spacing w:after="0" w:before="120" w:lineRule="auto" w:line="276"/>
        <w:jc w:val="both"/>
      </w:pPr>
      <w:r>
        <w:rPr>
          <w:rFonts w:ascii="Times New Roman" w:hAnsi="Times New Roman" w:cs="Times New Roman" w:eastAsia="Times New Roman"/>
          <w:b w:val="true"/>
          <w:sz w:val="26"/>
        </w:rPr>
        <w:t xml:space="preserve">- Bước 5: Ra quyết định </w:t>
      </w:r>
    </w:p>
    <w:p>
      <w:pPr>
        <w:spacing w:after="0" w:before="0" w:lineRule="auto" w:line="276"/>
        <w:jc w:val="both"/>
      </w:pPr>
      <w:r>
        <w:rPr>
          <w:rFonts w:ascii="Times New Roman" w:hAnsi="Times New Roman" w:cs="Times New Roman" w:eastAsia="Times New Roman"/>
          <w:b w:val="false"/>
          <w:sz w:val="26"/>
        </w:rPr>
        <w:t>Ra quyết định cấp/từ chối cấp Giấy chứng nhận đăng ký thiết kế bố trí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Phí : 120000 Đồng</w:t>
              <w:t xml:space="preserve"> (Phí công bố đơn:	)</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	)</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	)</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Giấy chứng nhận đăng ký thiết kế bố trí:	)</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w:t>
            </w:r>
          </w:p>
        </w:tc>
        <w:tc>
          <w:p/>
          <w:p>
            <w:pPr>
              <w:spacing w:after="0" w:before="0" w:lineRule="auto" w:line="276"/>
              <w:jc w:val="left"/>
            </w:pPr>
            <w:r>
              <w:rPr>
                <w:rFonts w:ascii="Times New Roman" w:hAnsi="Times New Roman" w:cs="Times New Roman" w:eastAsia="Times New Roman"/>
                <w:b w:val="false"/>
                <w:sz w:val="26"/>
              </w:rPr>
              <w:t xml:space="preserve">- Thẩm định hình thức: 01 tháng từ ngày nộp đơn;
- Công bố đơn: trong thời hạn 02 tháng từ ngày chấp nhận đơn hợp lệ;
- Thông báo dự định cấp Giấy chứng nhận đăng ký thiết kế bố trí: trong thời hạn 03 tháng kể từ ngày thiết kế bố trí được công bố trên Công báo sở hữu công nghiệp;
- Cấp Giấy chứng nhận đăng ký thiết kế bố trí: trong thời hạn 15 ngày kể từ ngày người nộp đơn nộp đầy đủ và đúng hạn các khoản phí và lệ phí.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Phí : 120.000 Đồng</w:t>
              <w:t xml:space="preserve"> (Phí công bố đơn)</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Giấy chứng nhận đăng ký thiết kế bố trí)</w:t>
            </w:r>
          </w:p>
          <w:p>
            <w:pPr>
              <w:spacing w:after="0" w:before="0" w:lineRule="auto" w:line="276"/>
              <w:jc w:val="left"/>
            </w:pPr>
            <w:r>
              <w:rPr>
                <w:rFonts w:ascii="Times New Roman" w:hAnsi="Times New Roman" w:cs="Times New Roman" w:eastAsia="Times New Roman"/>
                <w:b w:val="false"/>
                <w:sz w:val="26"/>
              </w:rPr>
              <w:t>Lệ phí : 150.000 Đồng</w:t>
              <w:t xml:space="preserve"> (- Lệ phí nộp đơn: 150.000 đồng (mỗi đơn).)</w:t>
            </w:r>
          </w:p>
        </w:tc>
        <w:tc>
          <w:p/>
          <w:p>
            <w:pPr>
              <w:spacing w:after="0" w:before="0" w:lineRule="auto" w:line="276"/>
              <w:jc w:val="left"/>
            </w:pPr>
            <w:r>
              <w:rPr>
                <w:rFonts w:ascii="Times New Roman" w:hAnsi="Times New Roman" w:cs="Times New Roman" w:eastAsia="Times New Roman"/>
                <w:b w:val="false"/>
                <w:sz w:val="26"/>
              </w:rPr>
              <w:t>- Thẩm định hình thức: 01 tháng từ ngày nộp đơn;
- Công bố đơn: trong thời hạn 02 tháng từ ngày chấp nhận đơn hợp lệ;
- Thông báo dự định cấp Giấy chứng nhận đăng ký thiết kế bố trí: trong thời hạn 03 tháng kể từ ngày thiết kế bố trí được công bố trên Công báo sở hữu công nghiệp;
- Cấp Giấy chứng nhận đăng ký thiết kế bố trí: trong thời hạn 15 ngày kể từ ngày người nộp đơn nộp đầy đủ và đúng hạn các khoản phí và lệ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A.02 đăng ký TKBT.doc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Bộ ảnh chụp hoặc bộ bản vẽ thiết kế bố trí</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mạch tích hợp được sản xuất theo thiết kế, nếu thiết kế bố trí đã được khai thác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mô tả mạch tích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thiết kế bố trí., Quyết định cấp Giấy chứng nhận đăng ký thiết kế bố trí, Quyết định từ chối cấp Giấy chứng nhận đăng ký thiết kế bố trí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thiết kế bố trí:
+ Tác giả tạo ra thiết kế bố trí bằng công sức và chi phí của mình;
+ Tổ chức, cá nhân đầu tư kinh phí, phương tiện vật chất cho tác giả dưới hình thức giao việc, thuê việc, trừ trường hợp các bên có thoả thuận khác và thoả thuận đó không trái với quy định của pháp luật;
+ Trường hợp nhiều tổ chức, cá nhân cùng nhau tạo ra hoặc đầu tư để tạo ra thiết kế bố trí thì các tổ chức, cá nhân đó đều có quyền đăng ký và quyền đăng ký đó chỉ được thực hiện nếu tất cả các tổ chức, cá nhân đó đồng ý;
+ Trường hợp thiết kế bố trí được tạo ra do sử dụng cơ sở vật chất - kỹ thuật, kinh phí từ ngân sách nhà nước:
Ÿ Trường hợp thiết kế bố trí được tạo ra trên cơ sở Nhà nước đầu tư toàn bộ kinh phí, phương tiện vật chất - kỹ thuật, quyền đăng ký thiết kế bố trí thuộc về Nhà nước. Tổ chức, cơ quan nhà nước được giao quyền chủ đầu tư có trách nhiệm đại diện Nhà nước thực hiện quyền đăng ký thiết kế bố trí;
Ÿ Trường hợp thiết kế bố trí được tạo ra trên cơ sở Nhà nước góp vốn (kinh phí, phương tiện vật chất - kỹ thuật), một phần quyền đăng ký thiết kế bố trí tương ứng với tỷ lệ góp vốn thuộc về Nhà nước. Tổ chức, cơ quan nhà nước là chủ phần vốn đầu tư của Nhà nước có trách nhiệm đại diện Nhà nước thực hiện phần quyền đăng ký thiết kế bố trí;
Ÿ Trường hợp thiết kế bố trí được tạo ra trên cơ sở hợp tác nghiên cứu - phát triển giữa tổ chức, cơ quan nhà nước với tổ chức, cá nhân khác, nếu trong thoả thuận hợp tác nghiên cứu - phát triển không có quy định khác thì một phần quyền đăng ký thiết kế bố trí tương ứng với tỷ lệ đóng góp của tổ chức, cơ quan nhà nước trong việc hợp tác đó, thuộc về Nhà nước. Tổ chức, cơ quan nhà nước tham gia hợp tác nghiên cứu - phát triển có trách nhiệm đại diện Nhà nước thực hiện quyền đăng ký thiết kế bố trí.
+ Người có quyền đăng ký có quyền chuyển giao quyền đăng ký cho tổ chức, cá nhân khác dưới hình thức hợp đồng bằng văn bản, để thừa kế hoặc kế thừa theo quy định của pháp luật, kể cả trường hợp đã nộp đơn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thiết kế bố trí mạch tích hợp bán dẫn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2026-05-12T18:19:28Z</dcterms:created>
  <dc:creator>Apache POI</dc:creator>
</cp:coreProperties>
</file>