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hiệu lực Văn bằng bảo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yêu cầu có thể nộp trực tiếp hoặc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Xử lý đơn</w:t>
      </w:r>
    </w:p>
    <w:p>
      <w:pPr>
        <w:spacing w:after="0" w:before="0" w:lineRule="auto" w:line="276"/>
        <w:jc w:val="both"/>
      </w:pPr>
      <w:r>
        <w:rPr>
          <w:rFonts w:ascii="Times New Roman" w:hAnsi="Times New Roman" w:cs="Times New Roman" w:eastAsia="Times New Roman"/>
          <w:b w:val="false"/>
          <w:sz w:val="26"/>
        </w:rPr>
        <w:t>+ Trường hợp đơn không có thiếu sót, Cục Sở hữu trí tuệ ra quyết định gia hạn, ghi nhận vào Văn bằng bảo hộ (nếu có yêu cầu)[1], đăng bạ và công bố trên Công báo sở hữu công nghiệp trong thời hạn 02 tháng kể từ ngày ra quyết định;
</w:t>
      </w:r>
    </w:p>
    <w:p>
      <w:pPr>
        <w:spacing w:after="0" w:before="0" w:lineRule="auto" w:line="276"/>
        <w:jc w:val="both"/>
      </w:pPr>
      <w:r>
        <w:rPr>
          <w:rFonts w:ascii="Times New Roman" w:hAnsi="Times New Roman" w:cs="Times New Roman" w:eastAsia="Times New Roman"/>
          <w:b w:val="false"/>
          <w:sz w:val="26"/>
        </w:rPr>
        <w:t>+ Trường hợp đơn có thiếu sót, không hợp lệ, Cục Sở hữu trí tuệ sẽ ra thông báo dự định từ chối gia hạn, nêu rõ lý do và ấn định thời hạn 02 tháng để người yêu cầu sửa chữa thiếu sót hoặc có ý kiến phản đối. Nếu người yêu cầu không sửa chữa thiếu sót hoặc sửa chữa không đạt yêu cầu, không có ý kiến phản đối hoặc ý kiến phản đối không xác đáng thì Cục Sở hữu trí tuệ ra quyết định từ chối gia hạn hiệu lực văn bằng bảo hộ.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gia hạn hiệu lực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gia hạn hiệu lực văn bằng bảo hộ:)</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gia hạn:)</w:t>
            </w:r>
          </w:p>
          <w:p>
            <w:pPr>
              <w:spacing w:after="0" w:before="0" w:lineRule="auto" w:line="276"/>
              <w:jc w:val="left"/>
            </w:pPr>
            <w:r>
              <w:rPr>
                <w:rFonts w:ascii="Times New Roman" w:hAnsi="Times New Roman" w:cs="Times New Roman" w:eastAsia="Times New Roman"/>
                <w:b w:val="false"/>
                <w:sz w:val="26"/>
              </w:rPr>
              <w:t>Phí : 700.000 Đồng</w:t>
              <w:t xml:space="preserve"> (Phí sử dụng văn bằng bảo hộ: đối với nhãn hiệu (10 năm) cho mỗi nhóm sản phẩm/dịch vụ; đối với kiểu dáng công nghiệp (05 năm) cho mỗi phương án của từng sản phẩm:)</w:t>
            </w:r>
          </w:p>
          <w:p>
            <w:pPr>
              <w:spacing w:after="0" w:before="0" w:lineRule="auto" w:line="276"/>
              <w:jc w:val="left"/>
            </w:pPr>
            <w:r>
              <w:rPr>
                <w:rFonts w:ascii="Times New Roman" w:hAnsi="Times New Roman" w:cs="Times New Roman" w:eastAsia="Times New Roman"/>
                <w:b w:val="false"/>
                <w:sz w:val="26"/>
              </w:rPr>
              <w:t>Lệ phí : 100.000 Đồng</w:t>
              <w:t xml:space="preserve"> (Lệ phí gia hạn hiệu lực văn bằng bảo hộ: đối với nhãn hiệu (10 năm) cho mỗi nhóm sản phẩm/dịch vụ; đối với kiểu dáng công nghiệp (05 năm) cho mỗi phương án của từng sản phẩm:)</w:t>
            </w:r>
          </w:p>
        </w:tc>
        <w:tc>
          <w:p/>
          <w:p>
            <w:pPr>
              <w:spacing w:after="0" w:before="0" w:lineRule="auto" w:line="276"/>
              <w:jc w:val="left"/>
            </w:pPr>
            <w:r>
              <w:rPr>
                <w:rFonts w:ascii="Times New Roman" w:hAnsi="Times New Roman" w:cs="Times New Roman" w:eastAsia="Times New Roman"/>
                <w:b w:val="false"/>
                <w:sz w:val="26"/>
              </w:rPr>
              <w:t>01 tháng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gia hạn hiệu lực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gia hạn hiệu lực văn bằng bảo hộ:)</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gia hạn:)</w:t>
            </w:r>
          </w:p>
          <w:p>
            <w:pPr>
              <w:spacing w:after="0" w:before="0" w:lineRule="auto" w:line="276"/>
              <w:jc w:val="left"/>
            </w:pPr>
            <w:r>
              <w:rPr>
                <w:rFonts w:ascii="Times New Roman" w:hAnsi="Times New Roman" w:cs="Times New Roman" w:eastAsia="Times New Roman"/>
                <w:b w:val="false"/>
                <w:sz w:val="26"/>
              </w:rPr>
              <w:t>Phí : 700.000 Đồng</w:t>
              <w:t xml:space="preserve"> (Phí sử dụng văn bằng bảo hộ: đối với nhãn hiệu (10 năm) cho mỗi nhóm sản phẩm/dịch vụ; đối với kiểu dáng công nghiệp (05 năm) cho mỗi phương án của từng sản phẩm:)</w:t>
            </w:r>
          </w:p>
          <w:p>
            <w:pPr>
              <w:spacing w:after="0" w:before="0" w:lineRule="auto" w:line="276"/>
              <w:jc w:val="left"/>
            </w:pPr>
            <w:r>
              <w:rPr>
                <w:rFonts w:ascii="Times New Roman" w:hAnsi="Times New Roman" w:cs="Times New Roman" w:eastAsia="Times New Roman"/>
                <w:b w:val="false"/>
                <w:sz w:val="26"/>
              </w:rPr>
              <w:t>Lệ phí : 100.000 Đồng</w:t>
              <w:t xml:space="preserve"> (Lệ phí gia hạn hiệu lực văn bằng bảo hộ: đối với nhãn hiệu (10 năm) cho mỗi nhóm sản phẩm/dịch vụ; đối với kiểu dáng công nghiệp (05 năm) cho mỗi phương án của từng sản phẩm:)</w:t>
            </w:r>
          </w:p>
        </w:tc>
        <w:tc>
          <w:p/>
          <w:p>
            <w:pPr>
              <w:spacing w:after="0" w:before="0" w:lineRule="auto" w:line="276"/>
              <w:jc w:val="left"/>
            </w:pPr>
            <w:r>
              <w:rPr>
                <w:rFonts w:ascii="Times New Roman" w:hAnsi="Times New Roman" w:cs="Times New Roman" w:eastAsia="Times New Roman"/>
                <w:b w:val="false"/>
                <w:sz w:val="26"/>
              </w:rPr>
              <w:t>01 tháng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uỷ quyền (nếu nộp hồ sơ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Văn bằng bảo hộ (trường hợp yêu cầu ghi nhận việc gia hạn vào Văn bằng bảo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 hạn hiệu lực văn bằng bảo hộ, Thông báo từ chối gia hạn hiệu lực văn bằng bảo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Bằng độc quyền kiểu dáng công nghiệp được gia hạn nhiều nhất 02 lần liên tiếp, mỗi lần 05 năm. Trường hợp kiểu dáng công nghiệp được bảo hộ có nhiều phương án thì Bằng độc quyền có thể được gia hạn đối với tất cả hoặc một số phương án, trong đó phải có phương án cơ bản.
   - Giấy chứng nhận đăng ký nhãn hiệu có thể được gia hạn nhiều lần liên tiếp, mỗi lần 10 năm đối với toàn bộ hoặc một phần danh mục hàng hóa, dịch vụ.
   - Để được gia hạn, trong vòng 06 tháng trước ngày Văn bằng bảo hộ hết hiệu lực, chủ Văn bằng bảo hộ phải nộp đơn yêu cầu gia hạn cho Cục Sở hữu trí tuệ.
   - Đơn yêu cầu gia hạn có thể nộp muộn hơn thời hạn quy định nhưng không được quá 06 tháng kể từ ngày Văn bằng bảo hộ hết hiệu lực và chủ Văn bằng bảo hộ phải nộp lệ phí gia hạn cộng với 10% lệ phí gia hạn cho mỗi tháng nộp muộn.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gia hạn hiệu lực văn bằng bảo hộ</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2026-05-20T04:42:55Z</dcterms:created>
  <dc:creator>Apache POI</dc:creator>
</cp:coreProperties>
</file>