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hợp đồng chuyển quyền sử dụng đối tượng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Bước 1: Tiếp nhận hồ sơ</w:t>
      </w:r>
    </w:p>
    <w:p>
      <w:pPr>
        <w:spacing w:after="0" w:before="0" w:lineRule="auto" w:line="276"/>
        <w:jc w:val="both"/>
      </w:pPr>
      <w:r>
        <w:rPr>
          <w:rFonts w:ascii="Times New Roman" w:hAnsi="Times New Roman" w:cs="Times New Roman" w:eastAsia="Times New Roman"/>
          <w:b w:val="false"/>
          <w:sz w:val="26"/>
        </w:rPr>
        <w:t xml:space="preserve"> Hồ sơ đăng ký hợp đồng chuyển quyền sử dụng đối tượng sở hữu công nghiệp có thể nộp trực tiếp hoặc qua bưu điện tới trụ sở Cục Sở hữu trí tuệ tại Hà Nội hoặc 2 Văn phòng đại diện của Cục tại TP. Hồ Chí Minh và Đà Nẵng.
</w:t>
      </w:r>
    </w:p>
    <w:p>
      <w:pPr>
        <w:shd w:val="clear" w:color="auto" w:fill="F2F6F9"/>
        <w:spacing w:after="0" w:before="120" w:lineRule="auto" w:line="276"/>
        <w:jc w:val="both"/>
      </w:pPr>
      <w:r>
        <w:rPr>
          <w:rFonts w:ascii="Times New Roman" w:hAnsi="Times New Roman" w:cs="Times New Roman" w:eastAsia="Times New Roman"/>
          <w:b w:val="true"/>
          <w:sz w:val="26"/>
        </w:rPr>
        <w:t>- Bước 2: Xử lý hồ sơ. Trường hợp hồ sơ đăng ký không có thiếu sót:</w:t>
      </w:r>
    </w:p>
    <w:p>
      <w:pPr>
        <w:spacing w:after="0" w:before="0" w:lineRule="auto" w:line="276"/>
        <w:jc w:val="both"/>
      </w:pPr>
      <w:r>
        <w:rPr>
          <w:rFonts w:ascii="Times New Roman" w:hAnsi="Times New Roman" w:cs="Times New Roman" w:eastAsia="Times New Roman"/>
          <w:b w:val="false"/>
          <w:sz w:val="26"/>
        </w:rPr>
        <w:t>+ Cục Sở hữu trí tuệ ra quyết định cấp Giấy chứng nhận đăng ký hợp đồng chuyển quyền sử dụng đối tượng sở hữu công nghiệp;
</w:t>
      </w:r>
    </w:p>
    <w:p>
      <w:pPr>
        <w:spacing w:after="0" w:before="0" w:lineRule="auto" w:line="276"/>
        <w:jc w:val="both"/>
      </w:pPr>
      <w:r>
        <w:rPr>
          <w:rFonts w:ascii="Times New Roman" w:hAnsi="Times New Roman" w:cs="Times New Roman" w:eastAsia="Times New Roman"/>
          <w:b w:val="false"/>
          <w:sz w:val="26"/>
        </w:rPr>
        <w:t>+ Ghi nhận vào Sổ đăng ký quốc gia về chuyển giao quyền sở hữu công nghiệp;
</w:t>
      </w:r>
    </w:p>
    <w:p>
      <w:pPr>
        <w:spacing w:after="0" w:before="0" w:lineRule="auto" w:line="276"/>
        <w:jc w:val="both"/>
      </w:pPr>
      <w:r>
        <w:rPr>
          <w:rFonts w:ascii="Times New Roman" w:hAnsi="Times New Roman" w:cs="Times New Roman" w:eastAsia="Times New Roman"/>
          <w:b w:val="false"/>
          <w:sz w:val="26"/>
        </w:rPr>
        <w:t>+ Công bố quyết định cấp Giấy chứng nhận đăng ký hợp đồng chuyển quyền sử dụng đối tượng sở hữu công nghiệp trên Công báo sở hữu công nghiệp.
</w:t>
      </w:r>
    </w:p>
    <w:p>
      <w:pPr>
        <w:shd w:val="clear" w:color="auto" w:fill="F2F6F9"/>
        <w:spacing w:after="0" w:before="120" w:lineRule="auto" w:line="276"/>
        <w:jc w:val="both"/>
      </w:pPr>
      <w:r>
        <w:rPr>
          <w:rFonts w:ascii="Times New Roman" w:hAnsi="Times New Roman" w:cs="Times New Roman" w:eastAsia="Times New Roman"/>
          <w:b w:val="true"/>
          <w:sz w:val="26"/>
        </w:rPr>
        <w:t>- Bước 2: Xử lý hồ sơ. Trường hợp hồ sơ đăng ký có thiếu sót:</w:t>
      </w:r>
    </w:p>
    <w:p>
      <w:pPr>
        <w:spacing w:after="0" w:before="0" w:lineRule="auto" w:line="276"/>
        <w:jc w:val="both"/>
      </w:pPr>
      <w:r>
        <w:rPr>
          <w:rFonts w:ascii="Times New Roman" w:hAnsi="Times New Roman" w:cs="Times New Roman" w:eastAsia="Times New Roman"/>
          <w:b w:val="false"/>
          <w:sz w:val="26"/>
        </w:rPr>
        <w:t>+ Cục Sở hữu trí tuệ ra thông báo dự định từ chối đăng ký hợp đồng, nêu rõ các thiếu sót của hồ sơ, ấn định thời hạn 02 tháng kể từ ngày ký thông báo để người nộp hồ sơ sửa chữa các thiếu sót hoặc có ý kiến phản đối về dự định từ chối đăng ký hợp đồng;</w:t>
      </w:r>
    </w:p>
    <w:p>
      <w:pPr>
        <w:spacing w:after="0" w:before="0" w:lineRule="auto" w:line="276"/>
        <w:jc w:val="both"/>
      </w:pPr>
      <w:r>
        <w:rPr>
          <w:rFonts w:ascii="Times New Roman" w:hAnsi="Times New Roman" w:cs="Times New Roman" w:eastAsia="Times New Roman"/>
          <w:b w:val="false"/>
          <w:sz w:val="26"/>
        </w:rPr>
        <w:t>+ Ra quyết định từ chối đăng ký hợp đồng nếu người nộp hồ sơ không sửa chữa hoặc sửa chữa thiếu sót không đạt yêu cầu, không có ý kiến phản đối hoặc ý kiến phản đối không xác đáng về dự định từ chối đăng ký hợp đồng trong thời hạn đã được ấn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Tháng</w:t>
            </w:r>
          </w:p>
        </w:tc>
        <w:tc>
          <w:p/>
          <w:p>
            <w:pPr>
              <w:spacing w:after="0" w:before="0" w:lineRule="auto" w:line="276"/>
              <w:jc w:val="left"/>
            </w:pPr>
            <w:r>
              <w:rPr>
                <w:rFonts w:ascii="Times New Roman" w:hAnsi="Times New Roman" w:cs="Times New Roman" w:eastAsia="Times New Roman"/>
                <w:b w:val="false"/>
                <w:sz w:val="26"/>
              </w:rPr>
              <w:t>Phí : 120.000 Đồng</w:t>
              <w:t xml:space="preserve"> (Phí công bố Quyết định cấp Giấy chứng nhận đăng ký hợp đồng chuyển quyền sử dụng đối tượng công nghiệp:)</w:t>
            </w:r>
          </w:p>
          <w:p>
            <w:pPr>
              <w:spacing w:after="0" w:before="0" w:lineRule="auto" w:line="276"/>
              <w:jc w:val="left"/>
            </w:pPr>
            <w:r>
              <w:rPr>
                <w:rFonts w:ascii="Times New Roman" w:hAnsi="Times New Roman" w:cs="Times New Roman" w:eastAsia="Times New Roman"/>
                <w:b w:val="false"/>
                <w:sz w:val="26"/>
              </w:rPr>
              <w:t>Phí : 120.000 Đồng</w:t>
              <w:t xml:space="preserve"> (Phí đăng bạ Quyết định cấp Giấy chứng nhận đăng ký hợp đồng chuyển quyền sử dụng đối tượng sở hữu công nghiệp:)</w:t>
            </w:r>
          </w:p>
          <w:p>
            <w:pPr>
              <w:spacing w:after="0" w:before="0" w:lineRule="auto" w:line="276"/>
              <w:jc w:val="left"/>
            </w:pPr>
            <w:r>
              <w:rPr>
                <w:rFonts w:ascii="Times New Roman" w:hAnsi="Times New Roman" w:cs="Times New Roman" w:eastAsia="Times New Roman"/>
                <w:b w:val="false"/>
                <w:sz w:val="26"/>
              </w:rPr>
              <w:t>Phí : 230.000 Đồng</w:t>
              <w:t xml:space="preserve"> (Phí thẩm định hồ sơ đăng ký hợp đồng chuyển quyền sử dụng đối tượng sở hữu công nghiệp (mỗi đối tượng):)</w:t>
            </w:r>
          </w:p>
          <w:p>
            <w:pPr>
              <w:spacing w:after="0" w:before="0" w:lineRule="auto" w:line="276"/>
              <w:jc w:val="left"/>
            </w:pPr>
            <w:r>
              <w:rPr>
                <w:rFonts w:ascii="Times New Roman" w:hAnsi="Times New Roman" w:cs="Times New Roman" w:eastAsia="Times New Roman"/>
                <w:b w:val="false"/>
                <w:sz w:val="26"/>
              </w:rPr>
              <w:t>Lệ phí : 120.000 Đồng</w:t>
              <w:t xml:space="preserve"> (Lệ phí cấp Giấy chứng nhận đăng ký hợp đồng chuyển quyền sử dụng đối tượng sở hữu công nghiệp:)</w:t>
            </w:r>
          </w:p>
        </w:tc>
        <w:tc>
          <w:p/>
          <w:p>
            <w:pPr>
              <w:spacing w:after="0" w:before="0" w:lineRule="auto" w:line="276"/>
              <w:jc w:val="left"/>
            </w:pPr>
            <w:r>
              <w:rPr>
                <w:rFonts w:ascii="Times New Roman" w:hAnsi="Times New Roman" w:cs="Times New Roman" w:eastAsia="Times New Roman"/>
                <w:b w:val="false"/>
                <w:sz w:val="26"/>
              </w:rPr>
              <w:t>02 tháng kể từ ngày tiếp nhận hồ sơ (không bao gồm thời gian dành cho người nộp hồ sơ sửa chữa thiếu sót).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Tháng</w:t>
            </w:r>
          </w:p>
        </w:tc>
        <w:tc>
          <w:p/>
          <w:p>
            <w:pPr>
              <w:spacing w:after="0" w:before="0" w:lineRule="auto" w:line="276"/>
              <w:jc w:val="left"/>
            </w:pPr>
            <w:r>
              <w:rPr>
                <w:rFonts w:ascii="Times New Roman" w:hAnsi="Times New Roman" w:cs="Times New Roman" w:eastAsia="Times New Roman"/>
                <w:b w:val="false"/>
                <w:sz w:val="26"/>
              </w:rPr>
              <w:t>Phí : 120.000 Đồng</w:t>
              <w:t xml:space="preserve"> (Phí đăng bạ Quyết định cấp Giấy chứng nhận đăng ký hợp đồng chuyển quyền sử dụng đối tượng sở hữu công nghiệp)</w:t>
            </w:r>
          </w:p>
          <w:p>
            <w:pPr>
              <w:spacing w:after="0" w:before="0" w:lineRule="auto" w:line="276"/>
              <w:jc w:val="left"/>
            </w:pPr>
            <w:r>
              <w:rPr>
                <w:rFonts w:ascii="Times New Roman" w:hAnsi="Times New Roman" w:cs="Times New Roman" w:eastAsia="Times New Roman"/>
                <w:b w:val="false"/>
                <w:sz w:val="26"/>
              </w:rPr>
              <w:t>Phí : 120.000 Đồng</w:t>
              <w:t xml:space="preserve"> (Phí công bố Quyết định cấp Giấy chứng nhận đăng ký hợp đồng chuyển quyền sử dụng đối tượng công nghiệp)</w:t>
            </w:r>
          </w:p>
          <w:p>
            <w:pPr>
              <w:spacing w:after="0" w:before="0" w:lineRule="auto" w:line="276"/>
              <w:jc w:val="left"/>
            </w:pPr>
            <w:r>
              <w:rPr>
                <w:rFonts w:ascii="Times New Roman" w:hAnsi="Times New Roman" w:cs="Times New Roman" w:eastAsia="Times New Roman"/>
                <w:b w:val="false"/>
                <w:sz w:val="26"/>
              </w:rPr>
              <w:t>Phí : 230.000 Đồng</w:t>
              <w:t xml:space="preserve"> (Phí thẩm định hồ sơ đăng ký hợp đồng chuyển quyền sử dụng đối tượng sở hữu công nghiệp (mỗi đối tượng))</w:t>
            </w:r>
          </w:p>
          <w:p>
            <w:pPr>
              <w:spacing w:after="0" w:before="0" w:lineRule="auto" w:line="276"/>
              <w:jc w:val="left"/>
            </w:pPr>
            <w:r>
              <w:rPr>
                <w:rFonts w:ascii="Times New Roman" w:hAnsi="Times New Roman" w:cs="Times New Roman" w:eastAsia="Times New Roman"/>
                <w:b w:val="false"/>
                <w:sz w:val="26"/>
              </w:rPr>
              <w:t>Lệ phí : 120.000 Đồng</w:t>
              <w:t xml:space="preserve"> (Lệ phí cấp Giấy chứng nhận đăng ký hợp đồng chuyển quyền sử dụng đối tượng sở hữu công nghiệp)</w:t>
            </w:r>
          </w:p>
        </w:tc>
        <w:tc>
          <w:p/>
          <w:p>
            <w:pPr>
              <w:spacing w:after="0" w:before="0" w:lineRule="auto" w:line="276"/>
              <w:jc w:val="left"/>
            </w:pPr>
            <w:r>
              <w:rPr>
                <w:rFonts w:ascii="Times New Roman" w:hAnsi="Times New Roman" w:cs="Times New Roman" w:eastAsia="Times New Roman"/>
                <w:b w:val="false"/>
                <w:sz w:val="26"/>
              </w:rPr>
              <w:t>02 tháng kể từ ngày tiếp nhận hồ sơ (không bao gồm thời gian dành cho người nộp hồ sơ sửa chữa thiếu sót).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uỷ quyền (nếu nộp hồ sơ thông qua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w:t>
            </w:r>
          </w:p>
        </w:tc>
        <w:tc>
          <w:p/>
          <w:p>
            <w:pPr>
              <w:spacing w:after="0" w:before="0" w:lineRule="auto" w:line="276"/>
              <w:jc w:val="left"/>
            </w:pPr>
            <w:r>
              <w:rPr>
                <w:rFonts w:ascii="Times New Roman" w:hAnsi="Times New Roman" w:cs="Times New Roman" w:eastAsia="Times New Roman"/>
                <w:b w:val="false"/>
                <w:sz w:val="26"/>
              </w:rPr>
              <w:t>D.02 Đăng ký HĐLX.doc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đồng ý của các đồng chủ sở hữu về việc chuyển quyền sử dụng đối tượng sở hữu công nghiệp, nếu quyền sở hữu công nghiệp tương ứng thuộc sở hữu chung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(bản gốc hoặc bản sao được chứng thực theo quy định); nếu hợp đồng làm bằng ngôn ngữ khác tiếng Việt thì phải kèm theo bản dịch hợp đồng ra tiếng Việt; hợp đồng có nhiều trang thì từng trang phải có chữ ký xác nhận của các bên hoặc đóng dấu giáp lai;</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hợp đồng chuyển quyền sử dụng đối tượng sở hữu công nghiệp, Quyết định cấp Giấy chứng nhận đăng ký hợp đồng chuyển quyền sử dụng đối tượng sở hữu công nghiệp, Quyết định từ chối cấp Giấy chứng nhận đăng ký hợp đồng chuyển quyền sử dụng đối tượng sở hữu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50/2005/QH11 </w:t>
            </w:r>
          </w:p>
        </w:tc>
        <w:tc>
          <w:p/>
          <w:p>
            <w:pPr>
              <w:spacing w:after="0" w:before="0" w:lineRule="auto" w:line="276"/>
              <w:jc w:val="left"/>
            </w:pPr>
            <w:r>
              <w:rPr>
                <w:rFonts w:ascii="Times New Roman" w:hAnsi="Times New Roman" w:cs="Times New Roman" w:eastAsia="Times New Roman"/>
                <w:b w:val="false"/>
                <w:sz w:val="26"/>
              </w:rPr>
              <w:t>Luật 50/2005/QH11</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36/2009/QH12 </w:t>
            </w:r>
          </w:p>
        </w:tc>
        <w:tc>
          <w:p/>
          <w:p>
            <w:pPr>
              <w:spacing w:after="0" w:before="0" w:lineRule="auto" w:line="276"/>
              <w:jc w:val="left"/>
            </w:pPr>
            <w:r>
              <w:rPr>
                <w:rFonts w:ascii="Times New Roman" w:hAnsi="Times New Roman" w:cs="Times New Roman" w:eastAsia="Times New Roman"/>
                <w:b w:val="false"/>
                <w:sz w:val="26"/>
              </w:rPr>
              <w:t>Luật 36/2009/QH12</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hợp đồng chuyển quyền sử dụng đối tượng sở hữu công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2026-05-17T13:12:09Z</dcterms:created>
  <dc:creator>Apache POI</dc:creator>
</cp:coreProperties>
</file>