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3038/QĐ-BKHCN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nhãn hiệu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xml:space="preserve">- Bước 2: Thẩm định hình thức đơn. </w:t>
      </w:r>
    </w:p>
    <w:p>
      <w:pPr>
        <w:spacing w:after="0" w:before="0" w:lineRule="auto" w:line="276"/>
        <w:jc w:val="both"/>
      </w:pPr>
      <w:r>
        <w:rPr>
          <w:rFonts w:ascii="Times New Roman" w:hAnsi="Times New Roman" w:cs="Times New Roman" w:eastAsia="Times New Roman"/>
          <w:b w:val="false"/>
          <w:sz w:val="26"/>
        </w:rPr>
        <w:t>Kiểm tra việc tuân thủ các quy định về hình thức đối với đơn, từ đó đưa ra kết luận đơn có được coi là hợp lệ hay không (Ra quyết định chấp nhận đơn hợp lệ/từ chối chấp nhận đơn[1]).
</w:t>
      </w:r>
    </w:p>
    <w:p>
      <w:pPr>
        <w:spacing w:after="0" w:before="0" w:lineRule="auto" w:line="276"/>
        <w:jc w:val="both"/>
      </w:pPr>
      <w:r>
        <w:rPr>
          <w:rFonts w:ascii="Times New Roman" w:hAnsi="Times New Roman" w:cs="Times New Roman" w:eastAsia="Times New Roman"/>
          <w:b w:val="false"/>
          <w:sz w:val="26"/>
        </w:rPr>
        <w:t>+ Trường hợp đơn hợp lệ, Cục Sở hữu trí tuệ ra quyết định chấp nhận đơn hợp lệ;
</w:t>
      </w:r>
    </w:p>
    <w:p>
      <w:pPr>
        <w:spacing w:after="0" w:before="0" w:lineRule="auto" w:line="276"/>
        <w:jc w:val="both"/>
      </w:pPr>
      <w:r>
        <w:rPr>
          <w:rFonts w:ascii="Times New Roman" w:hAnsi="Times New Roman" w:cs="Times New Roman" w:eastAsia="Times New Roman"/>
          <w:b w:val="false"/>
          <w:sz w:val="26"/>
        </w:rPr>
        <w:t>+ Trường hợp đơn không hợp lệ, Cục Sở hữu trí tuệ ra thông báo dự định từ chối chấp nhận đơn hợp lệ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
</w:t>
      </w:r>
    </w:p>
    <w:p>
      <w:pPr>
        <w:shd w:val="clear" w:color="auto" w:fill="F2F6F9"/>
        <w:spacing w:after="0" w:before="120" w:lineRule="auto" w:line="276"/>
        <w:jc w:val="both"/>
      </w:pPr>
      <w:r>
        <w:rPr>
          <w:rFonts w:ascii="Times New Roman" w:hAnsi="Times New Roman" w:cs="Times New Roman" w:eastAsia="Times New Roman"/>
          <w:b w:val="true"/>
          <w:sz w:val="26"/>
        </w:rPr>
        <w:t>- Bước 3: Công bố đơn</w:t>
      </w:r>
    </w:p>
    <w:p>
      <w:pPr>
        <w:spacing w:after="0" w:before="0" w:lineRule="auto" w:line="276"/>
        <w:jc w:val="both"/>
      </w:pPr>
      <w:r>
        <w:rPr>
          <w:rFonts w:ascii="Times New Roman" w:hAnsi="Times New Roman" w:cs="Times New Roman" w:eastAsia="Times New Roman"/>
          <w:b w:val="false"/>
          <w:sz w:val="26"/>
        </w:rPr>
        <w:t>Sau khi có quyết định chấp nhận đơn hợp lệ, đơn sẽ được công bố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Bước 4: Thẩm định nội dung đơn</w:t>
      </w:r>
    </w:p>
    <w:p>
      <w:pPr>
        <w:spacing w:after="0" w:before="0" w:lineRule="auto" w:line="276"/>
        <w:jc w:val="both"/>
      </w:pPr>
      <w:r>
        <w:rPr>
          <w:rFonts w:ascii="Times New Roman" w:hAnsi="Times New Roman" w:cs="Times New Roman" w:eastAsia="Times New Roman"/>
          <w:b w:val="false"/>
          <w:sz w:val="26"/>
        </w:rPr>
        <w:t>Đánh giá khả năng được bảo hộ của đối tượng nêu trong đơn theo các điều kiện bảo hộ, qua đó xác định phạm vi bảo hộ tương ứng.
</w:t>
      </w:r>
    </w:p>
    <w:p>
      <w:pPr>
        <w:shd w:val="clear" w:color="auto" w:fill="F2F6F9"/>
        <w:spacing w:after="0" w:before="120" w:lineRule="auto" w:line="276"/>
        <w:jc w:val="both"/>
      </w:pPr>
      <w:r>
        <w:rPr>
          <w:rFonts w:ascii="Times New Roman" w:hAnsi="Times New Roman" w:cs="Times New Roman" w:eastAsia="Times New Roman"/>
          <w:b w:val="true"/>
          <w:sz w:val="26"/>
        </w:rPr>
        <w:t>- Bước 5: Ra quyết định cấp/từ chối cấp văn bằng bảo hộ:</w:t>
      </w:r>
    </w:p>
    <w:p>
      <w:pPr>
        <w:spacing w:after="0" w:before="0" w:lineRule="auto" w:line="276"/>
        <w:jc w:val="both"/>
      </w:pPr>
      <w:r>
        <w:rPr>
          <w:rFonts w:ascii="Times New Roman" w:hAnsi="Times New Roman" w:cs="Times New Roman" w:eastAsia="Times New Roman"/>
          <w:b w:val="false"/>
          <w:sz w:val="26"/>
        </w:rPr>
        <w:t>+ Nếu đối tượng nêu trong đơn không đáp ứng được các yêu cầu về bảo hộ, Cục Sở hữu trí tuệ sẽ ra quyết định từ chối cấp văn bằng bảo hộ;
</w:t>
      </w:r>
    </w:p>
    <w:p>
      <w:pPr>
        <w:spacing w:after="0" w:before="0" w:lineRule="auto" w:line="276"/>
        <w:jc w:val="both"/>
      </w:pPr>
      <w:r>
        <w:rPr>
          <w:rFonts w:ascii="Times New Roman" w:hAnsi="Times New Roman" w:cs="Times New Roman" w:eastAsia="Times New Roman"/>
          <w:b w:val="false"/>
          <w:sz w:val="26"/>
        </w:rPr>
        <w:t>+ Nếu đối tượng nêu trong đơn đáp ứng được các yêu cầu về bảo hộ, và người nộp đơn nộp phí, lệ phí đầy đủ, đúng hạn thì Cục Sở hữu trí tuệ sẽ ra quyết định cấp văn bằng bảo hộ, ghi nhận vào Sổ đăng ký quốc gia về nhãn hiệu và công bố trên Công báo Sở hữu công nghiệp.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hàng hóa/dịch vụ:100.000 đồng (cho mỗi nhóm có 6 sản phẩm/dịch vụ, từ sản phẩm/dịch vụ thứ 7 trở đi: 20.000 đồng/1 sản phẩm/dịch vụ))</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180000 Đồng</w:t>
              <w:t xml:space="preserve"> (Phí tra cứu thông tin nhằm phục vụ việc thẩm định:	180.000 đồng (cho mỗi nhóm có 6 sản phẩm/dịch vụ, từ sản phẩm/dịch vụ thứ 7 trở đi: 30.000 đồng/1 sản phẩm/dịch vụ))</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nội dung:	550.000 đồng (cho mỗi nhóm có 6 sản phẩm/dịch vụ) (từ sản phẩm/dịch vụ thứ 7 trở đi trong mỗi nhóm: 120.000 đồng/1 sản phẩm/dịch vụ))</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đồng/mỗi đơn/mỗi yêu cầu)</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giấy chứng nhận đăng ký nhãn hiệu:120.000 đồng (cho 1 nhóm sản phẩm/dịch vụ đầu tiên, từ nhóm sản phẩm/dịch vụ thứ 2 trở đi: 100.000 đồng/1nhóm))</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150.000 đồng (cho mỗi đơn))</w:t>
            </w:r>
          </w:p>
        </w:tc>
        <w:tc>
          <w:p/>
          <w:p>
            <w:pPr>
              <w:spacing w:after="0" w:before="0" w:lineRule="auto" w:line="276"/>
              <w:jc w:val="left"/>
            </w:pPr>
            <w:r>
              <w:rPr>
                <w:rFonts w:ascii="Times New Roman" w:hAnsi="Times New Roman" w:cs="Times New Roman" w:eastAsia="Times New Roman"/>
                <w:b w:val="false"/>
                <w:sz w:val="26"/>
              </w:rPr>
              <w:t>- Thẩm định hình thức: 01 tháng từ ngày nộp đơn;
- Công bố đơn: trong thời hạn 02 tháng từ ngày chấp nhận đơn hợp lệ;
- Thẩm định nội dung đơn: không quá 09 tháng kể từ ngày công bố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đơn đăng ký nhãn hiệu tập thể, nhãn hiệu chứng nhận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 chế sử dụng nhãn hiệu tập thể/nhãn hiệu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về tính chất, chất lượng đặc trưng (hoặc đặc thù) của sản phẩm mang nhãn hiệu (nếu nhãn hiệu được đăng ký là nhãn hiệu tập thể dùng cho sản phẩm có tính chất đặc thù hoặc là nhãn hiệu chứng nhận chất lượng của sản phẩm hoặc là nhãn hiệu chứng nhận nguồn gốc địa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khu vực địa lý (nếu nhãn hiệu đăng ký là nhãn hiệu chứng nhận nguồn gốc địa lý của sản phẩm, hoặc nhãn hiệu tập thể, nhãn hiệu chứng nhận có chứa địa danh hoặc dấu hiệu khác chỉ nguồn gốc địa lý của đặc sản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Ủy ban nhân dân tỉnh, thành phố trực thuộc trung ương cho phép đăng ký nhãn hiệu (nếu nhãn hiệu đăng ký là nhãn hiệu tập thể, nhãn hiệu chứng nhận có chứa địa danh hoặc dấu hiệu khác chỉ nguồn gốc địa lý của đặc sản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quyền đăng ký nếu người nộp đơn thụ hưởng quyền đăng ký từ người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A.04 đăng ký NH.doc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nhãn hiệu (05 mẫu kích thước 80 x 80 mm) và danh mục hàng hóa, dịch vụ mang nhãn 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quyền ưu tiên, nếu yêu cầu hưởng quyền ưu tiên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nhãn hiệu, Quyết định cấp Giấy chứng nhận đăng ký nhãn hiệu, Quyết định từ chối cấp Giấy chứng nhận đăng ký nhãn hiệu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nhãn hiệu:
+ Tổ chức, cá nhân có quyền đăng ký nhãn hiệu dùng cho hàng hoá do mình sản xuất hoặc dịch vụ do mình cung cấp;
+ Tổ chức, cá nhân tiến hành hoạt động thương mại hợp pháp có quyền đăng ký nhãn hiệu cho sản phẩm mà mình đưa ra thị trường nhưng do người khác sản xuất với điều kiện người sản xuất không sử dụng nhãn hiệu đó cho sản phẩm và không phản đối việc đăng ký đó;
+ Tổ chức tập thể được thành lập hợp pháp có quyền đăng ký nhãn hiệu tập thể để các thành viên của mình sử dụng theo quy chế sử dụng nhãn hiệu tập thể; đối với dấu hiệu chỉ nguồn gốc địa lý của hàng hoá, dịch vụ, tổ chức có quyền đăng ký là tổ chức tập thể của các tổ chức, cá nhân tiến hành sản xuất, kinh doanh tại địa phương đó; đối với địa danh, dấu hiệu khác chỉ nguồn gốc địa lý, đặc sản địa phương của Việt Nam thì việc đăng ký phải được cơ quan nhà nước có thẩm quyền cho phép;
+ Tổ chức có chức năng kiểm soát, chứng nhận chất lượng, đặc tính, nguồn gốc hoặc tiêu chí khác liên quan đến hàng hoá, dịch vụ có quyền đăng ký nhãn hiệu chứng nhận với điều kiện không tiến hành sản xuất, kinh doanh hàng hoá, dịch vụ đó; đối với địa danh, dấu hiệu khác chỉ nguồn gốc địa lý, đặc sản địa phương của Việt Nam thì việc đăng ký phải được cơ quan nhà nước có thẩm quyền cho phép;
+ Hai hoặc nhiều tổ chức, cá nhân có quyền cùng đăng ký một nhãn hiệu để trở thành đồng chủ sở hữu với điều kiện (i) việc sử dụng nhãn hiệu đó phải nhân danh tất cả các đồng chủ sở hữu hoặc sử dụng cho hàng hóa, dịch vụ mà tất cả các đồng chủ sở hữu đều tham gia vào quá trình sản xuất, kinh doanh; (ii) việc sử dụng nhãn hiệu đó không gây nhầm lẫn cho người tiêu dùng về nguồn gốc của hàng hóa, dịch vụ.
+ Người có quyền đăng ký, kể cả người đã nộp đơn đăng ký có quyền chuyển giao quyền đăng ký cho tổ chức, cá nhân khác dưới hình thức hợp đồng bằng văn bản, để thừa kế hoặc kế thừa theo quy định của pháp luật với điều kiện các tổ chức, cá nhân được chuyển giao phải đáp ứng các điều kiện đối với người có quyền đăng ký tương ứng.
+ Đối với nhãn hiệu được bảo hộ tại một nước là thành viên của Điều ước quốc tế có quy định cấm người đại diện hoặc đại lý của chủ sở hữu nhãn hiệu đăng ký nhãn hiệu đó mà Việt Nam cũng là thành viên thì người đại diện hoặc đại lý đó không được phép đăng ký nhãn hiệu nếu không được sự đồng ý của chủ sở hữu nhãn hiệu, trừ trường hợp có lý do chính đáng.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nhãn hiệu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2026-05-23T16:35:05Z</dcterms:created>
  <dc:creator>Apache POI</dc:creator>
</cp:coreProperties>
</file>