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quốc tế nhãn hiệu có nguồn gốc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Tiếp nhận đơn</w:t>
      </w:r>
    </w:p>
    <w:p>
      <w:pPr>
        <w:spacing w:after="0" w:before="0" w:lineRule="auto" w:line="276"/>
        <w:jc w:val="both"/>
      </w:pPr>
      <w:r>
        <w:rPr>
          <w:rFonts w:ascii="Times New Roman" w:hAnsi="Times New Roman" w:cs="Times New Roman" w:eastAsia="Times New Roman"/>
          <w:b w:val="false"/>
          <w:sz w:val="26"/>
        </w:rPr>
        <w:t>Đơn đăng ký có thể nộp trực tiếp hoặc gửi qua bưu điện tới trụ sở Cục Sở hữu trí tuệ tại Hà Nội hoặc 2 Văn phòng đại diện của Cục tại TP. Hồ Chí Minh và Đà Nẵng.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2000000 Đồng</w:t>
              <w:t xml:space="preserve"> (Phí thực hiện thủ tục đăng ký quốc tế nhãn hiệu – không bao gồm các khoản phí phải nộp cho Văn phòng quốc tế:	)</w:t>
            </w:r>
          </w:p>
        </w:tc>
        <w:tc>
          <w:p/>
          <w:p>
            <w:pPr>
              <w:spacing w:after="0" w:before="0" w:lineRule="auto" w:line="276"/>
              <w:jc w:val="left"/>
            </w:pPr>
            <w:r>
              <w:rPr>
                <w:rFonts w:ascii="Times New Roman" w:hAnsi="Times New Roman" w:cs="Times New Roman" w:eastAsia="Times New Roman"/>
                <w:b w:val="false"/>
                <w:sz w:val="26"/>
              </w:rPr>
              <w:t>Cục Sở hữu trí tuệ có trách nhiệm chuyển đơn đăng ký quốc tế nhãn hiệu cho Văn phòng quốc tế trong thời hạn 30 ngày kể từ ngày nhận được đủ tài liệu hợp lệ theo quy định.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2000000 Đồng</w:t>
              <w:t xml:space="preserve"> (Phí thực hiện thủ tục đăng ký quốc tế nhãn hiệu – không bao gồm các khoản phí phải nộp cho Văn phòng quốc tế:	)</w:t>
            </w:r>
          </w:p>
        </w:tc>
        <w:tc>
          <w:p/>
          <w:p>
            <w:pPr>
              <w:spacing w:after="0" w:before="0" w:lineRule="auto" w:line="276"/>
              <w:jc w:val="left"/>
            </w:pPr>
            <w:r>
              <w:rPr>
                <w:rFonts w:ascii="Times New Roman" w:hAnsi="Times New Roman" w:cs="Times New Roman" w:eastAsia="Times New Roman"/>
                <w:b w:val="false"/>
                <w:sz w:val="26"/>
              </w:rPr>
              <w:t>Cục Sở hữu trí tuệ có trách nhiệm chuyển đơn đăng ký quốc tế nhãn hiệu cho Văn phòng quốc tế trong thời hạn 30 ngày kể từ ngày nhận được đủ tài liệu hợp lệ theo quy định.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theo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đăng ký quốc tế nhãn hiệu theo mẫu</w:t>
            </w:r>
          </w:p>
        </w:tc>
        <w:tc>
          <w:p/>
          <w:p>
            <w:pPr>
              <w:spacing w:after="0" w:before="0" w:lineRule="auto" w:line="276"/>
              <w:jc w:val="left"/>
            </w:pPr>
            <w:r>
              <w:rPr>
                <w:rFonts w:ascii="Times New Roman" w:hAnsi="Times New Roman" w:cs="Times New Roman" w:eastAsia="Times New Roman"/>
                <w:b w:val="false"/>
                <w:sz w:val="26"/>
              </w:rPr>
              <w:t>C.06 DKQT nhan hieu co nguon goc VN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nhãn hiệuvà danh mục hàng hóa, dịch vụ mang nhãn 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nộp lệ phí cho đơn đăng ký quốc tế nhãn hiệu theo hệ thống Madrid (Trường hợp hồ sơ hợp lệ), Thông báo kết quả xem xét đơn đăng ký quốc tế nhãn hiệu theo hệ thống Madrid (Trường hợp hồ sơ không hợp lệ)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50/2005/QH11 </w:t>
            </w:r>
          </w:p>
        </w:tc>
        <w:tc>
          <w:p/>
          <w:p>
            <w:pPr>
              <w:spacing w:after="0" w:before="0" w:lineRule="auto" w:line="276"/>
              <w:jc w:val="left"/>
            </w:pPr>
            <w:r>
              <w:rPr>
                <w:rFonts w:ascii="Times New Roman" w:hAnsi="Times New Roman" w:cs="Times New Roman" w:eastAsia="Times New Roman"/>
                <w:b w:val="false"/>
                <w:sz w:val="26"/>
              </w:rPr>
              <w:t>Luật 50/2005/QH11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18/2011/TT-BKHCN</w:t>
            </w:r>
          </w:p>
        </w:tc>
        <w:tc>
          <w:p/>
          <w:p>
            <w:pPr>
              <w:spacing w:after="0" w:before="0" w:lineRule="auto" w:line="276"/>
              <w:jc w:val="left"/>
            </w:pPr>
            <w:r>
              <w:rPr>
                <w:rFonts w:ascii="Times New Roman" w:hAnsi="Times New Roman" w:cs="Times New Roman" w:eastAsia="Times New Roman"/>
                <w:b w:val="false"/>
                <w:sz w:val="26"/>
              </w:rPr>
              <w:t>Thông tư 18/2011/TT-BKHCN-Sửa đổi, bổ sung một số quy định của Thông tư số 01/2007/TT-BKHCN ngày 14/02/2007, được sửa đổi, bổ sung theo Thông tư số 13/2010/TT-BKHCN ngày 31/7/2010 và Thông tư số 01/2008/TT-BKHCN ngày 25/02/2008, được sửa đổi, bổ sung theo Thông tư số 04/2009/TT-BKHCN ngày 27/3/2009</w:t>
            </w:r>
          </w:p>
        </w:tc>
        <w:tc>
          <w:p/>
          <w:p>
            <w:pPr>
              <w:spacing w:after="0" w:before="0" w:lineRule="auto" w:line="276"/>
              <w:jc w:val="left"/>
            </w:pPr>
            <w:r>
              <w:rPr>
                <w:rFonts w:ascii="Times New Roman" w:hAnsi="Times New Roman" w:cs="Times New Roman" w:eastAsia="Times New Roman"/>
                <w:b w:val="false"/>
                <w:sz w:val="26"/>
              </w:rPr>
              <w:t>22-07-2011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13/2010/TT-BKHCN</w:t>
            </w:r>
          </w:p>
        </w:tc>
        <w:tc>
          <w:p/>
          <w:p>
            <w:pPr>
              <w:spacing w:after="0" w:before="0" w:lineRule="auto" w:line="276"/>
              <w:jc w:val="left"/>
            </w:pPr>
            <w:r>
              <w:rPr>
                <w:rFonts w:ascii="Times New Roman" w:hAnsi="Times New Roman" w:cs="Times New Roman" w:eastAsia="Times New Roman"/>
                <w:b w:val="false"/>
                <w:sz w:val="26"/>
              </w:rPr>
              <w:t>Thông tư 13/2010/TT-BKHCN-Sửa đổi, bổ sung một số quy định của Thông tư số 17/2009/TT-BKHCN ngày 18/6/2009 và Thông tư số 01/2007/TT-BKHCN ngày 14/02/2007</w:t>
            </w:r>
          </w:p>
        </w:tc>
        <w:tc>
          <w:p/>
          <w:p>
            <w:pPr>
              <w:spacing w:after="0" w:before="0" w:lineRule="auto" w:line="276"/>
              <w:jc w:val="left"/>
            </w:pPr>
            <w:r>
              <w:rPr>
                <w:rFonts w:ascii="Times New Roman" w:hAnsi="Times New Roman" w:cs="Times New Roman" w:eastAsia="Times New Roman"/>
                <w:b w:val="false"/>
                <w:sz w:val="26"/>
              </w:rPr>
              <w:t>30-07-2010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05/2013/TT-BKHCN</w:t>
            </w:r>
          </w:p>
        </w:tc>
        <w:tc>
          <w:p/>
          <w:p>
            <w:pPr>
              <w:spacing w:after="0" w:before="0" w:lineRule="auto" w:line="276"/>
              <w:jc w:val="left"/>
            </w:pPr>
            <w:r>
              <w:rPr>
                <w:rFonts w:ascii="Times New Roman" w:hAnsi="Times New Roman" w:cs="Times New Roman" w:eastAsia="Times New Roman"/>
                <w:b w:val="false"/>
                <w:sz w:val="26"/>
              </w:rPr>
              <w:t>Thông tư 05/2013/TT-BKHCN-Sửa đổi, bổ sung một số điều của Thông tư số 01/2007/TT-BKHCN ngày 14/02/2007 hướng dẫn thi hành Nghị định số 103/2006/NĐ-CP quy định chi tiết một số điều của Luật Sở hữu trí tuệ về sở hữu công nghiệp, được sửa đổi, bổ sung theo Thông tư số 13/2010/TT-BKHCN ngày 30/7/2010 và Thông tư số 18/2011/TT-BKHCN ngày 22/7/2011</w:t>
            </w:r>
          </w:p>
        </w:tc>
        <w:tc>
          <w:p/>
          <w:p>
            <w:pPr>
              <w:spacing w:after="0" w:before="0" w:lineRule="auto" w:line="276"/>
              <w:jc w:val="left"/>
            </w:pPr>
            <w:r>
              <w:rPr>
                <w:rFonts w:ascii="Times New Roman" w:hAnsi="Times New Roman" w:cs="Times New Roman" w:eastAsia="Times New Roman"/>
                <w:b w:val="false"/>
                <w:sz w:val="26"/>
              </w:rPr>
              <w:t>20-02-2013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Đơn đăng ký quốc tế nhãn hiệu chỉ định nước muốn được đăng ký bảo hộ là thành viên Thoả ước Madrid và không chỉ định bất kỳ nước nào là thành viên Nghị định thư Madrid phải được làm bằng tiếng Pháp.
- Đơn đăng ký quốc tế nhãn hiệu chỉ định ít nhất một nước là thành viên Nghị định thư Madrid, kể cả đồng thời chỉ định nước là thành viên Thoả ước Madrid phải được làm bằng tiếng Anh hoặc tiếng Pháp.
- Người đã nộp đơn đăng ký nhãn hiệu tại Việt Nam và người đã được cấp Giấy chứng nhận đăng ký nhãn hiệu tại Việt Nam có quyền đăng ký quốc tế nhãn hiệu tương ứng theo hệ thống Madrid.</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quốc tế nhãn hiệu có nguồn gốc Việt Nam</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2026-05-20T05:17:18Z</dcterms:created>
  <dc:creator>Apache POI</dc:creator>
</cp:coreProperties>
</file>