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Dự án phát triển ngành Lâm nghiệp vay vốn Ngân hàng thế giới đối với Hộ vay tham gia Tổ Tiết kiệm và vay vốn mức vay đến 50 triệu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Tự nguyện gia nhập Tổ Tiết kiệm và vay vốn (TK&amp;VV) tại nơi cư trú hợp pháp;
- Viết Giấy đề nghị vay vốn kiêm phương án sử dụng vốn vay (mẫu số 01/TD); Cam kết dùng tài sản hình thành từ vốn vay làm bảo đảm tiền vay (mẫu số 05C/TD) và kê khai các thông tin vào Sổ vay vốn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và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 Gửi bộ hồ sơ vay vốn tới NHCSXH nơi thực hiện thủ tục sau khi có xác nhận của UBND cấp xã (đang cư trú hợp pháp, có kinh nghiệm trồng rừng, chấp hành tốt các quy định của pháp luật tại địa phương, không mắc các tệ nạn xã hội)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Xem xét, đối chiếu với từng điều kiện vay vốn Dự án; có thể thẩm định các trường hợp xét thấy cần thiết. Thực hiện kiểm tra độc lập hoặc phối hợp với đơn vị được ủy thác, ủy nhiệm; trường hợp cần thiết có thể phối hợp với UBND cấp xã;
-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Cam kết dùng tài sản hình thành từ vốn vay làm bảo đảm tiền vay (mẫu số 05C/TD) và Sổ vay vốn trực tiếp tới Ban quản lý Tổ TK&amp;VV nơi người vay cư trú hợp pháp.
Trong thời hạn không quá 03 (ba) ngày làm việc kể từ ngày NHCSXH nơi thực hiện thủ tục nhận được bộ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vay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dùng tài sản hình thành từ vốn vay làm bảo đảm tiền vay (mẫu số 05C/TD):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05C-TD (Cam kết dùng tài sản từ vốn vay làm bảo đảm tiền vay).doc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quản lý Tổ TK&amp;VV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đối với trường hợp kết nạp thêm tổ viên mới (mẫu số 10C/TD): 02 bản (01 bản chính lưu Tổ TK&amp;VV, 01 bản sao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giá hoặc Phiếu đặt mua hàng (trường hợp khi giải ngân lần đầu); Giấy tờ chứng minh đã mua cây giống của các đơn vị cung cấp cây giống hợp pháp (đối với trường hợp giải ngân lần thứ hai):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lâm nghiệp: 01 bản chính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247/QĐ-NHCS</w:t>
            </w:r>
          </w:p>
        </w:tc>
        <w:tc>
          <w:p/>
          <w:p>
            <w:pPr>
              <w:spacing w:after="0" w:before="0" w:lineRule="auto" w:line="276"/>
              <w:jc w:val="left"/>
            </w:pPr>
            <w:r>
              <w:rPr>
                <w:rFonts w:ascii="Times New Roman" w:hAnsi="Times New Roman" w:cs="Times New Roman" w:eastAsia="Times New Roman"/>
                <w:b w:val="false"/>
                <w:sz w:val="26"/>
              </w:rPr>
              <w:t>Quyết định số 247/QĐ-NHCS</w:t>
            </w:r>
          </w:p>
        </w:tc>
        <w:tc>
          <w:p/>
          <w:p>
            <w:pPr>
              <w:spacing w:after="0" w:before="0" w:lineRule="auto" w:line="276"/>
              <w:jc w:val="left"/>
            </w:pPr>
            <w:r>
              <w:rPr>
                <w:rFonts w:ascii="Times New Roman" w:hAnsi="Times New Roman" w:cs="Times New Roman" w:eastAsia="Times New Roman"/>
                <w:b w:val="false"/>
                <w:sz w:val="26"/>
              </w:rPr>
              <w:t>25-01-2013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3953-VN</w:t>
            </w:r>
          </w:p>
        </w:tc>
        <w:tc>
          <w:p/>
          <w:p>
            <w:pPr>
              <w:spacing w:after="0" w:before="0" w:lineRule="auto" w:line="276"/>
              <w:jc w:val="left"/>
            </w:pPr>
            <w:r>
              <w:rPr>
                <w:rFonts w:ascii="Times New Roman" w:hAnsi="Times New Roman" w:cs="Times New Roman" w:eastAsia="Times New Roman"/>
                <w:b w:val="false"/>
                <w:sz w:val="26"/>
              </w:rPr>
              <w:t>Văn bản số 3953-VN</w:t>
            </w:r>
          </w:p>
        </w:tc>
        <w:tc>
          <w:p/>
          <w:p>
            <w:pPr>
              <w:spacing w:after="0" w:before="0" w:lineRule="auto" w:line="276"/>
              <w:jc w:val="left"/>
            </w:pPr>
            <w:r>
              <w:rPr>
                <w:rFonts w:ascii="Times New Roman" w:hAnsi="Times New Roman" w:cs="Times New Roman" w:eastAsia="Times New Roman"/>
                <w:b w:val="false"/>
                <w:sz w:val="26"/>
              </w:rPr>
              <w:t>04-04-2005</w:t>
            </w:r>
          </w:p>
        </w:tc>
        <w:tc>
          <w:p/>
        </w:tc>
      </w:tr>
      <w:tr>
        <w:tc>
          <w:p/>
          <w:p>
            <w:pPr>
              <w:spacing w:after="0" w:before="0" w:lineRule="auto" w:line="276"/>
              <w:jc w:val="left"/>
            </w:pPr>
            <w:r>
              <w:rPr>
                <w:rFonts w:ascii="Times New Roman" w:hAnsi="Times New Roman" w:cs="Times New Roman" w:eastAsia="Times New Roman"/>
                <w:b w:val="false"/>
                <w:sz w:val="26"/>
              </w:rPr>
              <w:t>5070 - VN</w:t>
            </w:r>
          </w:p>
        </w:tc>
        <w:tc>
          <w:p/>
          <w:p>
            <w:pPr>
              <w:spacing w:after="0" w:before="0" w:lineRule="auto" w:line="276"/>
              <w:jc w:val="left"/>
            </w:pPr>
            <w:r>
              <w:rPr>
                <w:rFonts w:ascii="Times New Roman" w:hAnsi="Times New Roman" w:cs="Times New Roman" w:eastAsia="Times New Roman"/>
                <w:b w:val="false"/>
                <w:sz w:val="26"/>
              </w:rPr>
              <w:t>Văn bản số 5070 - VN</w:t>
            </w:r>
          </w:p>
        </w:tc>
        <w:tc>
          <w:p/>
          <w:p>
            <w:pPr>
              <w:spacing w:after="0" w:before="0" w:lineRule="auto" w:line="276"/>
              <w:jc w:val="left"/>
            </w:pPr>
            <w:r>
              <w:rPr>
                <w:rFonts w:ascii="Times New Roman" w:hAnsi="Times New Roman" w:cs="Times New Roman" w:eastAsia="Times New Roman"/>
                <w:b w:val="false"/>
                <w:sz w:val="26"/>
              </w:rPr>
              <w:t>15-06-2012</w:t>
            </w:r>
          </w:p>
        </w:tc>
        <w:tc>
          <w:p/>
        </w:tc>
      </w:tr>
      <w:tr>
        <w:tc>
          <w:p/>
          <w:p>
            <w:pPr>
              <w:spacing w:after="0" w:before="0" w:lineRule="auto" w:line="276"/>
              <w:jc w:val="left"/>
            </w:pPr>
            <w:r>
              <w:rPr>
                <w:rFonts w:ascii="Times New Roman" w:hAnsi="Times New Roman" w:cs="Times New Roman" w:eastAsia="Times New Roman"/>
                <w:b w:val="false"/>
                <w:sz w:val="26"/>
              </w:rPr>
              <w:t>3210/QĐ-NHCS</w:t>
            </w:r>
          </w:p>
        </w:tc>
        <w:tc>
          <w:p/>
          <w:p>
            <w:pPr>
              <w:spacing w:after="0" w:before="0" w:lineRule="auto" w:line="276"/>
              <w:jc w:val="left"/>
            </w:pPr>
            <w:r>
              <w:rPr>
                <w:rFonts w:ascii="Times New Roman" w:hAnsi="Times New Roman" w:cs="Times New Roman" w:eastAsia="Times New Roman"/>
                <w:b w:val="false"/>
                <w:sz w:val="26"/>
              </w:rPr>
              <w:t>Văn bản số 3210/QĐ-NHCS</w:t>
            </w:r>
          </w:p>
        </w:tc>
        <w:tc>
          <w:p/>
          <w:p>
            <w:pPr>
              <w:spacing w:after="0" w:before="0" w:lineRule="auto" w:line="276"/>
              <w:jc w:val="left"/>
            </w:pPr>
            <w:r>
              <w:rPr>
                <w:rFonts w:ascii="Times New Roman" w:hAnsi="Times New Roman" w:cs="Times New Roman" w:eastAsia="Times New Roman"/>
                <w:b w:val="false"/>
                <w:sz w:val="26"/>
              </w:rPr>
              <w:t>23-09-2015</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Thuộc nhóm khách hàng mục tiêu: Hộ gia đình tham gia trồng, chăm sóc rừng trồng của Dự án;
- Cư trú hợp pháp tại xã thực hiện Dự án (là nơi người vay thường xuyên sinh sống. Trường hợp không xác định được nơi cư trú của người vay vốn theo quy định thì nơi cư trú là nơi người vay đang sinh sống được UBND xã xác nhận);
- Đã được cấp Giấy chứng nhận quyền sử dụng đất trồng rừng (cấp mới lần đầu hoặc đã được đứng tên trên giấy chứng nhận quyền sử dụng đất trồng rừng sau khi nhận chuyển nhượng) đối với diện tích đất sẽ trồng hoặc chăm sóc rừng sản xuất bằng vốn vay; 
- Mục đích vay vốn phù hợp với quy định của Dự án;
- Có khả năng tài chính để chi trả khoản nợ trong thời gian cam kết. Không có nợ quá hạn trên 6 tháng hoặc nợ khó đòi tại NHCSXH nơi thực hiện thủ tục;
- Có vốn tự có tham gia tối thiểu 25% chi phí của phương án sử dụng vốn dưới các hình thức: bằng tiền, hiện vật hoặc nhân công; NHCSXH cho vay: tối đa 75% chi phí của mỗi phương án sử dụng vốn.
- Phương án sử dụng vốn vay phù hợp với diện tích đất lâm nghiệp hiện có của hộ gia đình, có hiệu quả, đảm bảo khả năng trả nợ. Việc trồng, chăm sóc rừng phù hợp với mô hình trồng rừng đề xuất của Bộ Nông nghiệp và phát triển nông thôn cung cấp từng thời kỳ;
- Giao Giấy chứng nhận quyền sử dụng đất lâm nghiệp cho NHCSXH giữ trong suốt thời gian còn nợ vay NHCSXH theo Dự án và Cam kết dùng tài sản hình thành từ vốn vay để bảo đảm trả nợ vay cho NHCSXH.
- Đối với trường hợp vay vốn để tiếp tục trồng, chăm sóc rừng đã được trồng trước đây hoặc rừng đã nhận chuyển nhượng thì diện tích rừng đã trồng trước đây đã được kiểm tra bởi cán bộ NHCSXH hoặc bởi đơn vị được NHCSXH ủy nhiệm, ủy thác.
- Đối với trường hợp hộ đã trồng rừng sản xuất gỗ ván dăm hiện tại (luân kỳ thông thường 7 năm), kéo dài thêm thời gian chăm sóc nuôi dưỡng bảo vệ để chuyển thành rừng trồng lấy gỗ xẻ (luân kỳ dài 15 năm) được xem xét cho vay bổ sung với tổng thời hạn cho vay tối đa là 15 năm và đáp ứng thêm điều kiện so với các trường hợp trên, đó là: Được kiểm tra tối thiểu 2 lần bởi cán bộ NHCSXH hoặc của đơn vị được NHCSXH ủy nhiệm, ủy thác (đối với cho vay bổ sung với mô hình chuyển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2026-05-18T12:41:02Z</dcterms:created>
  <dc:creator>Apache POI</dc:creator>
</cp:coreProperties>
</file>